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rbel" w:hAnsi="Corbel" w:cs="Arial"/>
          <w:b/>
          <w:caps/>
          <w:sz w:val="22"/>
          <w:szCs w:val="22"/>
          <w:lang w:eastAsia="en-US"/>
        </w:rPr>
      </w:pPr>
      <w:r>
        <w:rPr>
          <w:rFonts w:cs="Arial" w:ascii="Corbel" w:hAnsi="Corbel"/>
          <w:b/>
          <w:caps/>
          <w:sz w:val="22"/>
          <w:szCs w:val="22"/>
          <w:lang w:eastAsia="en-US"/>
        </w:rPr>
        <w:t>H2O INVEST</w:t>
      </w:r>
    </w:p>
    <w:p>
      <w:pPr>
        <w:pStyle w:val="Normal"/>
        <w:jc w:val="center"/>
        <w:rPr>
          <w:rFonts w:ascii="Corbel" w:hAnsi="Corbel" w:cs="Arial"/>
          <w:lang w:eastAsia="en-US"/>
        </w:rPr>
      </w:pPr>
      <w:r>
        <w:rPr>
          <w:rFonts w:cs="Arial" w:ascii="Corbel" w:hAnsi="Corbel"/>
          <w:lang w:eastAsia="en-US"/>
        </w:rPr>
        <w:t>Société d’investissement à capital variable de droit français sous forme de SAS</w:t>
        <w:br/>
        <w:t>au capital social initial de 9 163 641,46</w:t>
      </w:r>
      <w:r>
        <w:rPr>
          <w:rFonts w:cs="Corbel" w:ascii="Corbel" w:hAnsi="Corbel"/>
          <w:lang w:eastAsia="en-US"/>
        </w:rPr>
        <w:t xml:space="preserve"> </w:t>
      </w:r>
      <w:r>
        <w:rPr>
          <w:rFonts w:cs="Arial" w:ascii="Corbel" w:hAnsi="Corbel"/>
          <w:lang w:eastAsia="en-US"/>
        </w:rPr>
        <w:t>€</w:t>
        <w:br/>
        <w:t>Siège social : 39 avenue Pierre 1</w:t>
      </w:r>
      <w:r>
        <w:rPr>
          <w:rFonts w:cs="Arial" w:ascii="Corbel" w:hAnsi="Corbel"/>
          <w:vertAlign w:val="superscript"/>
          <w:lang w:eastAsia="en-US"/>
        </w:rPr>
        <w:t>er</w:t>
      </w:r>
      <w:r>
        <w:rPr>
          <w:rFonts w:cs="Arial" w:ascii="Corbel" w:hAnsi="Corbel"/>
          <w:lang w:eastAsia="en-US"/>
        </w:rPr>
        <w:t xml:space="preserve"> de Serbie – 75008 Paris</w:t>
        <w:br/>
        <w:t>532 900 081</w:t>
      </w:r>
      <w:r>
        <w:rPr>
          <w:rFonts w:cs="Arial" w:ascii="Corbel" w:hAnsi="Corbel"/>
          <w:color w:val="000000"/>
          <w:lang w:eastAsia="en-US"/>
        </w:rPr>
        <w:t xml:space="preserve"> </w:t>
      </w:r>
      <w:r>
        <w:rPr>
          <w:rFonts w:cs="Arial" w:ascii="Corbel" w:hAnsi="Corbel"/>
          <w:lang w:eastAsia="en-US"/>
        </w:rPr>
        <w:t>RCS Paris</w:t>
      </w:r>
    </w:p>
    <w:p>
      <w:pPr>
        <w:pStyle w:val="BodyText"/>
        <w:rPr>
          <w:rFonts w:ascii="Corbel" w:hAnsi="Corbel" w:cs="Corbel"/>
          <w:lang w:eastAsia="en-US"/>
        </w:rPr>
      </w:pPr>
      <w:r>
        <w:rPr>
          <w:rFonts w:cs="Corbel" w:ascii="Corbel" w:hAnsi="Corbel"/>
          <w:lang w:eastAsia="en-US"/>
        </w:rPr>
      </w:r>
    </w:p>
    <w:p>
      <w:pPr>
        <w:pStyle w:val="BodyText"/>
        <w:spacing w:before="0" w:after="0"/>
        <w:jc w:val="center"/>
        <w:rPr>
          <w:rFonts w:ascii="Corbel" w:hAnsi="Corbel" w:cs="Arial"/>
          <w:b/>
          <w:u w:val="single"/>
        </w:rPr>
      </w:pPr>
      <w:r>
        <w:rPr>
          <w:rFonts w:cs="Arial" w:ascii="Corbel" w:hAnsi="Corbel"/>
          <w:b/>
          <w:u w:val="single"/>
        </w:rPr>
        <w:t>AVIS DE CONVOCATION</w:t>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Corbel"/>
          <w:b/>
          <w:u w:val="single"/>
        </w:rPr>
      </w:pPr>
      <w:r>
        <w:rPr>
          <w:rFonts w:cs="Corbel" w:ascii="Corbel" w:hAnsi="Corbel"/>
          <w:b/>
          <w:u w:val="single"/>
        </w:rPr>
      </w:r>
    </w:p>
    <w:p>
      <w:pPr>
        <w:pStyle w:val="Normal"/>
        <w:ind w:end="-143"/>
        <w:jc w:val="both"/>
        <w:rPr>
          <w:rFonts w:ascii="Corbel" w:hAnsi="Corbel" w:cs="Arial"/>
          <w:spacing w:val="-2"/>
        </w:rPr>
      </w:pPr>
      <w:r>
        <w:rPr>
          <w:rFonts w:cs="Arial" w:ascii="Corbel" w:hAnsi="Corbel"/>
        </w:rPr>
        <w:t xml:space="preserve">Les actionnaires de la société sont convoqués </w:t>
      </w:r>
      <w:r>
        <w:rPr>
          <w:rFonts w:cs="Arial" w:ascii="Corbel" w:hAnsi="Corbel"/>
          <w:spacing w:val="-2"/>
        </w:rPr>
        <w:t>en assemblée générale ordinaire annuelle, le</w:t>
      </w:r>
      <w:r>
        <w:rPr>
          <w:rFonts w:cs="Arial" w:ascii="Corbel" w:hAnsi="Corbel"/>
        </w:rPr>
        <w:t xml:space="preserve"> 30 octobre 2026 </w:t>
      </w:r>
    </w:p>
    <w:p>
      <w:pPr>
        <w:pStyle w:val="Normal"/>
        <w:ind w:end="-143"/>
        <w:jc w:val="both"/>
        <w:rPr>
          <w:rFonts w:ascii="Corbel" w:hAnsi="Corbel" w:cs="Arial"/>
        </w:rPr>
      </w:pPr>
      <w:r>
        <w:rPr>
          <w:rFonts w:cs="Arial" w:ascii="Corbel" w:hAnsi="Corbel"/>
        </w:rPr>
        <w:t>à 10 heures à l’effet de délibérer sur l’ordre du jour ci-dessous :</w:t>
      </w:r>
    </w:p>
    <w:p>
      <w:pPr>
        <w:pStyle w:val="Normal"/>
        <w:ind w:end="-46"/>
        <w:jc w:val="both"/>
        <w:rPr>
          <w:rFonts w:ascii="Corbel" w:hAnsi="Corbel" w:cs="Arial"/>
        </w:rPr>
      </w:pPr>
      <w:r>
        <w:rPr>
          <w:rFonts w:cs="Arial" w:ascii="Corbel" w:hAnsi="Corbel"/>
        </w:rPr>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Corbel" w:hAnsi="Corbel" w:cs="Arial"/>
          <w:b/>
          <w:bCs/>
          <w:iCs/>
          <w:u w:val="single"/>
        </w:rPr>
      </w:pPr>
      <w:r>
        <w:rPr>
          <w:rFonts w:cs="Arial" w:ascii="Corbel" w:hAnsi="Corbel"/>
          <w:b/>
          <w:bCs/>
          <w:iCs/>
          <w:u w:val="single"/>
        </w:rPr>
        <w:t>ORDRE DU JOUR</w:t>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b/>
          <w:bCs/>
          <w:iCs/>
          <w:spacing w:val="-3"/>
          <w:u w:val="single"/>
        </w:rPr>
      </w:pPr>
      <w:r>
        <w:rPr>
          <w:rFonts w:cs="Arial" w:ascii="Corbel" w:hAnsi="Corbel"/>
          <w:b/>
          <w:bCs/>
          <w:iCs/>
          <w:spacing w:val="-3"/>
          <w:u w:val="single"/>
        </w:rPr>
      </w:r>
    </w:p>
    <w:p>
      <w:pPr>
        <w:pStyle w:val="Normal"/>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spacing w:val="-3"/>
        </w:rPr>
      </w:pPr>
      <w:r>
        <w:rPr>
          <w:rFonts w:cs="Arial" w:ascii="Corbel" w:hAnsi="Corbel"/>
          <w:spacing w:val="-3"/>
        </w:rPr>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 xml:space="preserve">Lecture des rapports du Président et du commissaire aux comptes sur les comptes de l'exercice clos </w:t>
        <w:br/>
        <w:t>le 30 juin 2026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 xml:space="preserve">Lecture du rapport spécial du commissaire aux comptes sur les conventions visées à l'article </w:t>
        <w:br/>
        <w:t>L 227-10 du Code de commerce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Examen et approbation des comptes annuels, quitus au Président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Affectation des sommes distribuables ;</w:t>
      </w:r>
    </w:p>
    <w:p>
      <w:pPr>
        <w:pStyle w:val="Normal"/>
        <w:numPr>
          <w:ilvl w:val="0"/>
          <w:numId w:val="10"/>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lang w:eastAsia="en-US"/>
        </w:rPr>
      </w:pPr>
      <w:r>
        <w:rPr>
          <w:rFonts w:cs="Arial" w:ascii="Corbel" w:hAnsi="Corbel"/>
          <w:spacing w:val="-2"/>
          <w:lang w:eastAsia="en-US"/>
        </w:rPr>
        <w:t>Pouvoirs pour l’accomplissement des formalités.</w:t>
      </w:r>
    </w:p>
    <w:p>
      <w:pPr>
        <w:pStyle w:val="Normal"/>
        <w:tabs>
          <w:tab w:val="clear" w:pos="708"/>
          <w:tab w:val="left" w:pos="8640" w:leader="none"/>
          <w:tab w:val="right" w:pos="9072" w:leader="dot"/>
        </w:tabs>
        <w:jc w:val="both"/>
        <w:rPr>
          <w:rFonts w:ascii="Corbel" w:hAnsi="Corbel" w:cs="Arial"/>
          <w:spacing w:val="-2"/>
          <w:highlight w:val="yellow"/>
          <w:lang w:eastAsia="en-US"/>
        </w:rPr>
      </w:pPr>
      <w:r>
        <w:rPr>
          <w:rFonts w:cs="Arial" w:ascii="Corbel" w:hAnsi="Corbel"/>
          <w:spacing w:val="-2"/>
          <w:highlight w:val="yellow"/>
          <w:lang w:eastAsia="en-US"/>
        </w:rPr>
      </w:r>
    </w:p>
    <w:p>
      <w:pPr>
        <w:pStyle w:val="Normal"/>
        <w:tabs>
          <w:tab w:val="clear" w:pos="708"/>
          <w:tab w:val="left" w:pos="0" w:leader="none"/>
          <w:tab w:val="left" w:pos="317" w:leader="none"/>
          <w:tab w:val="left" w:pos="1392" w:leader="none"/>
          <w:tab w:val="left" w:pos="1678" w:leader="none"/>
          <w:tab w:val="left" w:pos="2160" w:leader="none"/>
        </w:tabs>
        <w:suppressAutoHyphens w:val="true"/>
        <w:spacing w:lineRule="atLeast" w:line="240"/>
        <w:jc w:val="both"/>
        <w:rPr>
          <w:rFonts w:ascii="Corbel" w:hAnsi="Corbel" w:cs="Arial"/>
          <w:color w:val="FF0000"/>
          <w:spacing w:val="-2"/>
          <w:highlight w:val="yellow"/>
          <w:lang w:eastAsia="en-US"/>
        </w:rPr>
      </w:pPr>
      <w:r>
        <w:rPr>
          <w:rFonts w:cs="Arial" w:ascii="Corbel" w:hAnsi="Corbel"/>
          <w:color w:val="FF0000"/>
          <w:spacing w:val="-2"/>
          <w:highlight w:val="yellow"/>
          <w:lang w:eastAsia="en-US"/>
        </w:rPr>
      </w:r>
    </w:p>
    <w:p>
      <w:pPr>
        <w:pStyle w:val="Normal"/>
        <w:tabs>
          <w:tab w:val="left" w:pos="0" w:leader="none"/>
          <w:tab w:val="left" w:pos="708" w:leader="none"/>
          <w:tab w:val="left" w:pos="1440"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Arial" w:hAnsi="Arial" w:cs="Arial"/>
          <w:b/>
          <w:spacing w:val="-2"/>
        </w:rPr>
      </w:pPr>
      <w:r>
        <w:rPr>
          <w:rFonts w:cs="Arial" w:ascii="Arial" w:hAnsi="Arial"/>
          <w:b/>
          <w:spacing w:val="-2"/>
        </w:rPr>
        <w:t>_____________________________________</w:t>
      </w:r>
    </w:p>
    <w:p>
      <w:pPr>
        <w:pStyle w:val="Normal"/>
        <w:ind w:end="-46"/>
        <w:jc w:val="both"/>
        <w:rPr>
          <w:rFonts w:ascii="Arial" w:hAnsi="Arial" w:cs="Arial"/>
          <w:b/>
          <w:spacing w:val="-2"/>
        </w:rPr>
      </w:pPr>
      <w:r>
        <w:rPr>
          <w:rFonts w:cs="Arial" w:ascii="Arial" w:hAnsi="Arial"/>
          <w:b/>
          <w:spacing w:val="-2"/>
        </w:rPr>
      </w:r>
    </w:p>
    <w:p>
      <w:pPr>
        <w:pStyle w:val="Normal"/>
        <w:ind w:end="-46"/>
        <w:jc w:val="both"/>
        <w:rPr/>
      </w:pPr>
      <w:r>
        <w:rPr>
          <w:rFonts w:cs="Arial" w:ascii="Corbel" w:hAnsi="Corbel"/>
          <w:sz w:val="22"/>
          <w:szCs w:val="22"/>
        </w:rPr>
        <w:t xml:space="preserve">Les actionnaires peuvent prendre part à cette assemblée quel que soit le nombre d’actions dont ils sont propriétaires, nonobstant toutes clauses statutaires contraires.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Il est justifié du droit de participer aux assemblées générales des sociétés par l’inscription en compte des titres au nom de l'actionnaire ou de l'intermédiaire inscrit pour son compte en application de l'article L. 228-1 du Code de commerce, au cinquième jour ouvré précédant l'assemblée, à zéro heure, heure de Paris, soit dans les comptes de titres nominatifs tenus par la société, soit dans les comptes de titres au porteur tenus par l'intermédiaire habilité.</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L'inscription en compte des titres dans les comptes de titres au porteur tenus par l'intermédiaire habilité doit être constatée par une attestation de participation délivrée par ce dernier, le cas échéant par voie électronique dans les conditions prévues à l'article R. 225-61 du Code de commerce, et annexée au formulaire de vote à distance ou de procuration, ou encore, à la demande de carte d'admission établis au nom de l'actionnaire ou pour le compte de l'actionnaire représenté par l'intermédiaire inscrit.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A défaut d'assister personnellement à cette assemblée, les actionnaires peuvent choisir entre l'une des trois formules suivantes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adresser une procuration à la société sans indication de mandataire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donner une procuration à un autre actionnaire, à son conjoint ou au partenaire avec lequel il a conclu un pacte civil de solidarité ;</w:t>
      </w:r>
    </w:p>
    <w:p>
      <w:pPr>
        <w:pStyle w:val="ListParagraph"/>
        <w:numPr>
          <w:ilvl w:val="0"/>
          <w:numId w:val="2"/>
        </w:numPr>
        <w:ind w:hanging="360" w:start="720" w:end="-46"/>
        <w:jc w:val="both"/>
        <w:rPr>
          <w:rFonts w:ascii="Corbel" w:hAnsi="Corbel" w:cs="Arial"/>
          <w:sz w:val="22"/>
          <w:szCs w:val="22"/>
        </w:rPr>
      </w:pPr>
      <w:r>
        <w:rPr>
          <w:rFonts w:cs="Arial" w:ascii="Corbel" w:hAnsi="Corbel"/>
          <w:sz w:val="22"/>
          <w:szCs w:val="22"/>
        </w:rPr>
        <w:t>voter par correspondance.</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L'actionnaire qui a déjà exprimé son vote à distance, envoyé un pouvoir ou demandé sa carte d'admission ou une attestation de participation peut à tout moment céder tout ou partie de ses actions. Cependant, si le transfert de propriété intervient avant le cinquième jour ouvré précédant l'assemblée, à zéro heure, heure de Paris, la société invalide ou modifie en conséquence, selon le cas, le vote exprimé à distance, le pouvoir, la carte d'admission ou l'attestation de participation. A cette fin, l'intermédiaire habilité teneur de compte notifie le transfert de propriété à la société ou à son mandataire et lui transmet les informations nécessaires.</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Les formulaires de procuration et de vote par correspondance sont adressés automatiquement aux actionnaires inscrits en compte nominatif pur ou administré par courrier postal.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 xml:space="preserve">Conformément à la loi, l’ensemble des documents qui doivent être communiqués à cette assemblée générale, seront mis à la disposition des actionnaires, dans les délais légaux, au siège social de </w:t>
      </w:r>
      <w:r>
        <w:rPr>
          <w:rFonts w:cs="Arial" w:ascii="Corbel" w:hAnsi="Corbel"/>
          <w:b/>
          <w:sz w:val="22"/>
          <w:szCs w:val="22"/>
        </w:rPr>
        <w:t>H2O INVEST</w:t>
      </w:r>
      <w:r>
        <w:rPr>
          <w:rFonts w:cs="Arial" w:ascii="Corbel" w:hAnsi="Corbel"/>
          <w:sz w:val="22"/>
          <w:szCs w:val="22"/>
        </w:rPr>
        <w:t xml:space="preserve"> ou transmis sur simple demande adressée à Uptevia.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b/>
          <w:bCs/>
          <w:sz w:val="22"/>
          <w:szCs w:val="22"/>
        </w:rPr>
      </w:pPr>
      <w:r>
        <w:rPr>
          <w:rFonts w:cs="Arial" w:ascii="Corbel" w:hAnsi="Corbel"/>
          <w:sz w:val="22"/>
          <w:szCs w:val="22"/>
        </w:rPr>
        <w:t xml:space="preserve">Pour les propriétaires d’actions au porteur, les formulaires de procuration et de vote par correspondance leurs seront adressés sur demande réceptionnée par lettre recommandée avec avis de réception par </w:t>
      </w:r>
      <w:r>
        <w:rPr>
          <w:rFonts w:cs="Arial" w:ascii="Corbel" w:hAnsi="Corbel"/>
          <w:b/>
          <w:sz w:val="22"/>
          <w:szCs w:val="22"/>
        </w:rPr>
        <w:t xml:space="preserve">Uptevia </w:t>
      </w:r>
      <w:r>
        <w:rPr>
          <w:rFonts w:cs="Arial" w:ascii="Corbel" w:hAnsi="Corbel"/>
          <w:b/>
          <w:bCs/>
          <w:sz w:val="22"/>
          <w:szCs w:val="22"/>
        </w:rPr>
        <w:t>Service Assemblées Générales, 90 – 110 Esplanade du Général de Gaulle – 92931 Paris La Défense Cedex</w:t>
      </w:r>
      <w:r>
        <w:rPr>
          <w:rFonts w:cs="Arial" w:ascii="Corbel" w:hAnsi="Corbel"/>
          <w:b/>
          <w:sz w:val="22"/>
          <w:szCs w:val="22"/>
        </w:rPr>
        <w:t xml:space="preserve"> </w:t>
      </w:r>
      <w:r>
        <w:rPr>
          <w:rFonts w:cs="Arial" w:ascii="Corbel" w:hAnsi="Corbel"/>
          <w:sz w:val="22"/>
          <w:szCs w:val="22"/>
        </w:rPr>
        <w:t>au plus tard cinq jours avant la date de l’assemblée.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b/>
          <w:bCs/>
          <w:sz w:val="22"/>
          <w:szCs w:val="22"/>
        </w:rPr>
      </w:pPr>
      <w:r>
        <w:rPr>
          <w:rFonts w:cs="Arial" w:ascii="Corbel" w:hAnsi="Corbel"/>
          <w:sz w:val="22"/>
          <w:szCs w:val="22"/>
        </w:rPr>
        <w:t xml:space="preserve">Pour être comptabilisé, le formulaire de vote par correspondance, complété et signé, devra être réceptionné chez </w:t>
      </w:r>
      <w:r>
        <w:rPr>
          <w:rFonts w:cs="Arial" w:ascii="Corbel" w:hAnsi="Corbel"/>
          <w:b/>
          <w:sz w:val="22"/>
          <w:szCs w:val="22"/>
        </w:rPr>
        <w:t>Uptevia</w:t>
      </w:r>
      <w:r>
        <w:rPr>
          <w:rFonts w:cs="Arial" w:ascii="Corbel" w:hAnsi="Corbel"/>
          <w:b/>
          <w:bCs/>
          <w:sz w:val="22"/>
          <w:szCs w:val="22"/>
        </w:rPr>
        <w:t xml:space="preserve"> Service Assemblées Générales, 90 – 110 Esplanade du Général de Gaulle – 92931 Paris La Défense Cedex</w:t>
      </w:r>
      <w:r>
        <w:rPr>
          <w:rFonts w:cs="Arial" w:ascii="Corbel" w:hAnsi="Corbel"/>
          <w:b/>
          <w:sz w:val="22"/>
          <w:szCs w:val="22"/>
        </w:rPr>
        <w:t xml:space="preserve"> </w:t>
      </w:r>
      <w:r>
        <w:rPr>
          <w:rFonts w:cs="Arial" w:ascii="Corbel" w:hAnsi="Corbel"/>
          <w:sz w:val="22"/>
          <w:szCs w:val="22"/>
        </w:rPr>
        <w:t>au plus tard deux jours avant la tenue de l'assemblée.</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sz w:val="22"/>
          <w:szCs w:val="22"/>
        </w:rPr>
      </w:pPr>
      <w:r>
        <w:rPr>
          <w:rFonts w:cs="Arial" w:ascii="Corbel" w:hAnsi="Corbel"/>
          <w:sz w:val="22"/>
          <w:szCs w:val="22"/>
        </w:rPr>
        <w:t>Lorsque l'actionnaire a déjà exprimé son vote à distance, envoyé un pouvoir ou demandé sa carte d'admission ou une attestation de participation, il ne peut plus choisir un autre mode de participation à l'assemblée, sauf disposition contraire des statuts.</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pPr>
      <w:r>
        <w:rPr>
          <w:rFonts w:cs="Arial" w:ascii="Corbel" w:hAnsi="Corbel"/>
          <w:sz w:val="22"/>
          <w:szCs w:val="22"/>
        </w:rPr>
        <w:t>Les actionnaires peuvent poser des questions écrites à la société à compter de la présente publication. Ces questions doivent être adressées au siège social de la société, par lettre recommandée avec accusé de réception au plus tard le quatrième jour ouvré précédant la date de l’assemblée générale. Elles doivent être accompagnées d’une attestation d’inscription en compte.</w:t>
      </w:r>
    </w:p>
    <w:p>
      <w:pPr>
        <w:pStyle w:val="Normal"/>
        <w:ind w:end="-46"/>
        <w:jc w:val="both"/>
        <w:rPr>
          <w:rFonts w:ascii="Corbel" w:hAnsi="Corbel" w:cs="Arial"/>
          <w:sz w:val="22"/>
          <w:szCs w:val="22"/>
        </w:rPr>
      </w:pPr>
      <w:r>
        <w:rPr>
          <w:rFonts w:cs="Arial" w:ascii="Corbel" w:hAnsi="Corbel"/>
          <w:sz w:val="22"/>
          <w:szCs w:val="22"/>
        </w:rPr>
      </w:r>
    </w:p>
    <w:p>
      <w:pPr>
        <w:pStyle w:val="Normal"/>
        <w:ind w:end="-46"/>
        <w:jc w:val="end"/>
        <w:rPr>
          <w:rFonts w:ascii="Corbel" w:hAnsi="Corbel" w:cs="Corbel"/>
          <w:sz w:val="22"/>
          <w:szCs w:val="22"/>
        </w:rPr>
      </w:pPr>
      <w:r>
        <w:rPr>
          <w:rFonts w:cs="Arial" w:ascii="Corbel" w:hAnsi="Corbel"/>
          <w:sz w:val="22"/>
          <w:szCs w:val="22"/>
        </w:rPr>
        <w:t>Le Président</w:t>
      </w:r>
    </w:p>
    <w:p>
      <w:pPr>
        <w:pStyle w:val="Normal"/>
        <w:ind w:end="-46"/>
        <w:jc w:val="both"/>
        <w:rPr>
          <w:rFonts w:ascii="Corbel" w:hAnsi="Corbel" w:cs="Corbel"/>
          <w:sz w:val="22"/>
          <w:szCs w:val="22"/>
        </w:rPr>
      </w:pPr>
      <w:r>
        <w:rPr>
          <w:rFonts w:cs="Corbel" w:ascii="Corbel" w:hAnsi="Corbel"/>
          <w:sz w:val="22"/>
          <w:szCs w:val="22"/>
        </w:rPr>
      </w:r>
    </w:p>
    <w:p>
      <w:pPr>
        <w:pStyle w:val="Normal"/>
        <w:ind w:end="-46"/>
        <w:jc w:val="both"/>
        <w:rPr/>
      </w:pPr>
      <w:r>
        <w:rPr>
          <w:rFonts w:cs="Arial" w:ascii="Corbel" w:hAnsi="Corbel"/>
          <w:b/>
          <w:bCs/>
          <w:sz w:val="22"/>
          <w:szCs w:val="22"/>
          <w:u w:val="single"/>
        </w:rPr>
        <w:t>Représentant et service de paiement pour la Suisse</w:t>
      </w:r>
      <w:r>
        <w:rPr>
          <w:rFonts w:cs="Arial" w:ascii="Corbel" w:hAnsi="Corbel"/>
          <w:b/>
          <w:bCs/>
          <w:sz w:val="22"/>
          <w:szCs w:val="22"/>
        </w:rPr>
        <w:t xml:space="preserve"> :</w:t>
      </w:r>
    </w:p>
    <w:p>
      <w:pPr>
        <w:pStyle w:val="Normal"/>
        <w:ind w:end="-46"/>
        <w:jc w:val="both"/>
        <w:rPr>
          <w:rFonts w:ascii="Corbel" w:hAnsi="Corbel" w:cs="Arial"/>
          <w:sz w:val="22"/>
          <w:szCs w:val="22"/>
        </w:rPr>
      </w:pPr>
      <w:r>
        <w:rPr>
          <w:rFonts w:cs="Arial" w:ascii="Corbel" w:hAnsi="Corbel"/>
          <w:sz w:val="22"/>
          <w:szCs w:val="22"/>
        </w:rPr>
        <w:t>CACEIS Bank, Montrouge, succursale de Zurich / Suisse,</w:t>
      </w:r>
    </w:p>
    <w:p>
      <w:pPr>
        <w:pStyle w:val="Normal"/>
        <w:ind w:end="-46"/>
        <w:jc w:val="both"/>
        <w:rPr/>
      </w:pPr>
      <w:r>
        <w:rPr>
          <w:rFonts w:cs="Arial" w:ascii="Corbel" w:hAnsi="Corbel"/>
          <w:sz w:val="22"/>
          <w:szCs w:val="22"/>
        </w:rPr>
        <w:t>Uraniastrasse 28,</w:t>
      </w:r>
    </w:p>
    <w:p>
      <w:pPr>
        <w:pStyle w:val="Normal"/>
        <w:ind w:end="-46"/>
        <w:jc w:val="both"/>
        <w:rPr/>
      </w:pPr>
      <w:r>
        <w:rPr>
          <w:rFonts w:cs="Arial" w:ascii="Corbel" w:hAnsi="Corbel"/>
          <w:sz w:val="22"/>
          <w:szCs w:val="22"/>
          <w:lang w:val="de-DE"/>
        </w:rPr>
        <w:t>CH-8021 Zurich.</w:t>
      </w:r>
    </w:p>
    <w:p>
      <w:pPr>
        <w:pStyle w:val="Normal"/>
        <w:ind w:end="-46"/>
        <w:jc w:val="both"/>
        <w:rPr>
          <w:rFonts w:ascii="Corbel" w:hAnsi="Corbel" w:cs="Arial"/>
          <w:sz w:val="22"/>
          <w:szCs w:val="22"/>
          <w:lang w:val="de-DE"/>
        </w:rPr>
      </w:pPr>
      <w:r>
        <w:rPr>
          <w:rFonts w:cs="Arial" w:ascii="Corbel" w:hAnsi="Corbel"/>
          <w:sz w:val="22"/>
          <w:szCs w:val="22"/>
          <w:lang w:val="de-DE"/>
        </w:rPr>
      </w:r>
    </w:p>
    <w:p>
      <w:pPr>
        <w:pStyle w:val="Normal"/>
        <w:ind w:end="-46"/>
        <w:jc w:val="both"/>
        <w:rPr/>
      </w:pPr>
      <w:r>
        <w:rPr>
          <w:rFonts w:cs="Arial" w:ascii="Corbel" w:hAnsi="Corbel"/>
          <w:sz w:val="22"/>
          <w:szCs w:val="22"/>
        </w:rPr>
        <w:t>Le prospectus, les feuilles d’information de base, les statuts ainsi que le rapport annuel et semestriel de la SICAV peuvent être obtenus gratuitement et sur simple demande auprès du représentant suisse de cette dernière, à l’adresse indiquée ci-dessus.</w:t>
      </w:r>
    </w:p>
    <w:sectPr>
      <w:headerReference w:type="default" r:id="rId2"/>
      <w:footerReference w:type="default" r:id="rId3"/>
      <w:type w:val="nextPage"/>
      <w:pgSz w:w="11906" w:h="16838"/>
      <w:pgMar w:left="1417" w:right="1417" w:gutter="0" w:header="426" w:top="851" w:footer="72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altName w:val="Times New Roman"/>
    <w:charset w:val="01" w:characterSet="utf-8"/>
    <w:family w:val="roman"/>
    <w:pitch w:val="variable"/>
  </w:font>
  <w:font w:name="Times New Roman Gras">
    <w:altName w:val="Times New Roman"/>
    <w:charset w:val="00" w:characterSet="windows-1252"/>
    <w:family w:val="roman"/>
    <w:pitch w:val="variable"/>
  </w:font>
  <w:font w:name="Courier New">
    <w:charset w:val="00" w:characterSet="windows-1252"/>
    <w:family w:val="modern"/>
    <w:pitch w:val="default"/>
  </w:font>
  <w:font w:name="Wingdings">
    <w:charset w:val="02"/>
    <w:family w:val="auto"/>
    <w:pitch w:val="variable"/>
  </w:font>
  <w:font w:name="Webdings">
    <w:charset w:val="02"/>
    <w:family w:val="roman"/>
    <w:pitch w:val="variable"/>
  </w:font>
  <w:font w:name="Times">
    <w:altName w:val="Times New Roman"/>
    <w:charset w:val="00" w:characterSet="windows-1252"/>
    <w:family w:val="roman"/>
    <w:pitch w:val="variable"/>
  </w:font>
  <w:font w:name="Arial">
    <w:altName w:val="Arial"/>
    <w:charset w:val="01" w:characterSet="utf-8"/>
    <w:family w:val="swiss"/>
    <w:pitch w:val="variable"/>
  </w:font>
  <w:font w:name="Arial MT">
    <w:charset w:val="00" w:characterSet="windows-1252"/>
    <w:family w:val="swiss"/>
    <w:pitch w:val="variable"/>
  </w:font>
  <w:font w:name="Letter Gothic">
    <w:altName w:val="Courier New"/>
    <w:charset w:val="00" w:characterSet="windows-1252"/>
    <w:family w:val="modern"/>
    <w:pitch w:val="default"/>
  </w:font>
  <w:font w:name="GillSans">
    <w:altName w:val="Calibri"/>
    <w:charset w:val="00" w:characterSet="windows-1252"/>
    <w:family w:val="swiss"/>
    <w:pitch w:val="variable"/>
  </w:font>
  <w:font w:name="Tahoma">
    <w:charset w:val="00" w:characterSet="windows-1252"/>
    <w:family w:val="swiss"/>
    <w:pitch w:val="variable"/>
  </w:font>
  <w:font w:name="Courier">
    <w:altName w:val="Courier New"/>
    <w:charset w:val="00" w:characterSet="windows-1252"/>
    <w:family w:val="modern"/>
    <w:pitch w:val="default"/>
  </w:font>
  <w:font w:name="Corbel">
    <w:charset w:val="00" w:characterSet="windows-1252"/>
    <w:family w:val="swiss"/>
    <w:pitch w:val="variable"/>
  </w:font>
  <w:font w:name="Calibri">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w:r>
    <w:r>
      <mc:AlternateContent>
        <mc:Choice Requires="wps">
          <w:drawing>
            <wp:anchor behindDoc="0" distT="0" distB="0" distL="0" distR="0" simplePos="0" locked="0" layoutInCell="0" allowOverlap="1" relativeHeight="3">
              <wp:simplePos x="0" y="0"/>
              <wp:positionH relativeFrom="margin">
                <wp:align>right</wp:align>
              </wp:positionH>
              <wp:positionV relativeFrom="paragraph">
                <wp:posOffset>635</wp:posOffset>
              </wp:positionV>
              <wp:extent cx="64135" cy="146685"/>
              <wp:effectExtent l="0" t="0" r="0" b="0"/>
              <wp:wrapSquare wrapText="bothSides"/>
              <wp:docPr id="1" name="Frame1"/>
              <a:graphic xmlns:a="http://schemas.openxmlformats.org/drawingml/2006/main">
                <a:graphicData uri="http://schemas.microsoft.com/office/word/2010/wordprocessingShape">
                  <wps:wsp>
                    <wps:cNvSpPr txBox="1"/>
                    <wps:spPr>
                      <a:xfrm>
                        <a:off x="0" y="0"/>
                        <a:ext cx="64135" cy="146685"/>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5.05pt;height:11.55pt;mso-wrap-distance-left:0pt;mso-wrap-distance-right:0pt;mso-wrap-distance-top:0pt;mso-wrap-distance-bottom:0pt;margin-top:0.05pt;mso-position-vertical-relative:text;margin-left:448.55pt;mso-position-horizontal:right;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0" w:hanging="0"/>
      </w:pPr>
    </w:lvl>
    <w:lvl w:ilvl="1">
      <w:start w:val="1"/>
      <w:pStyle w:val="Heading2"/>
      <w:numFmt w:val="decimal"/>
      <w:lvlText w:val="%1.%2"/>
      <w:lvlJc w:val="start"/>
      <w:pPr>
        <w:tabs>
          <w:tab w:val="num" w:pos="0"/>
        </w:tabs>
        <w:ind w:start="0" w:hanging="0"/>
      </w:pPr>
    </w:lvl>
    <w:lvl w:ilvl="2">
      <w:start w:val="1"/>
      <w:pStyle w:val="Heading3"/>
      <w:numFmt w:val="decimal"/>
      <w:lvlText w:val="%1.%2.%3"/>
      <w:lvlJc w:val="start"/>
      <w:pPr>
        <w:tabs>
          <w:tab w:val="num" w:pos="0"/>
        </w:tabs>
        <w:ind w:start="0" w:hanging="0"/>
      </w:pPr>
    </w:lvl>
    <w:lvl w:ilvl="3">
      <w:start w:val="1"/>
      <w:numFmt w:val="decimal"/>
      <w:lvlText w:val="%1.%2.%3.%4"/>
      <w:lvlJc w:val="start"/>
      <w:pPr>
        <w:tabs>
          <w:tab w:val="num" w:pos="0"/>
        </w:tabs>
        <w:ind w:start="0" w:hanging="0"/>
      </w:pPr>
    </w:lvl>
    <w:lvl w:ilvl="4">
      <w:start w:val="1"/>
      <w:numFmt w:val="decimal"/>
      <w:lvlText w:val="%1.%2.%3.%4.%5"/>
      <w:lvlJc w:val="start"/>
      <w:pPr>
        <w:tabs>
          <w:tab w:val="num" w:pos="0"/>
        </w:tabs>
        <w:ind w:start="0" w:hanging="0"/>
      </w:pPr>
    </w:lvl>
    <w:lvl w:ilvl="5">
      <w:start w:val="1"/>
      <w:numFmt w:val="decimal"/>
      <w:lvlText w:val="%1.%2.%3.%4.%5.%6"/>
      <w:lvlJc w:val="start"/>
      <w:pPr>
        <w:tabs>
          <w:tab w:val="num" w:pos="0"/>
        </w:tabs>
        <w:ind w:start="0" w:hanging="0"/>
      </w:pPr>
    </w:lvl>
    <w:lvl w:ilvl="6">
      <w:start w:val="1"/>
      <w:numFmt w:val="decimal"/>
      <w:lvlText w:val="%1.%2.%3.%4.%5.%6.%7"/>
      <w:lvlJc w:val="start"/>
      <w:pPr>
        <w:tabs>
          <w:tab w:val="num" w:pos="0"/>
        </w:tabs>
        <w:ind w:start="0" w:hanging="0"/>
      </w:pPr>
    </w:lvl>
    <w:lvl w:ilvl="7">
      <w:start w:val="1"/>
      <w:numFmt w:val="decimal"/>
      <w:lvlText w:val="%1.%2.%3.%4.%5.%6.%7.%8"/>
      <w:lvlJc w:val="start"/>
      <w:pPr>
        <w:tabs>
          <w:tab w:val="num" w:pos="0"/>
        </w:tabs>
        <w:ind w:start="0" w:hanging="0"/>
      </w:pPr>
    </w:lvl>
    <w:lvl w:ilvl="8">
      <w:start w:val="1"/>
      <w:numFmt w:val="decimal"/>
      <w:lvlText w:val="%1.%2.%3.%4.%5.%6.%7.%8.%9"/>
      <w:lvlJc w:val="start"/>
      <w:pPr>
        <w:tabs>
          <w:tab w:val="num" w:pos="0"/>
        </w:tabs>
        <w:ind w:start="0" w:hanging="0"/>
      </w:pPr>
    </w:lvl>
  </w:abstractNum>
  <w:abstractNum w:abstractNumId="2">
    <w:lvl w:ilvl="0">
      <w:start w:val="1"/>
      <w:numFmt w:val="decimal"/>
      <w:lvlText w:val="%1)"/>
      <w:lvlJc w:val="start"/>
      <w:pPr>
        <w:tabs>
          <w:tab w:val="num" w:pos="0"/>
        </w:tabs>
        <w:ind w:start="720" w:hanging="360"/>
      </w:pPr>
    </w:lvl>
  </w:abstractNum>
  <w:abstractNum w:abstractNumId="3">
    <w:lvl w:ilvl="0">
      <w:start w:val="1"/>
      <w:numFmt w:val="bullet"/>
      <w:lvlText w:val=""/>
      <w:lvlJc w:val="start"/>
      <w:pPr>
        <w:tabs>
          <w:tab w:val="num" w:pos="360"/>
        </w:tabs>
        <w:ind w:start="360" w:hanging="360"/>
      </w:pPr>
      <w:rPr>
        <w:rFonts w:ascii="Webdings" w:hAnsi="Webdings" w:cs="Webdings" w:hint="default"/>
      </w:rPr>
    </w:lvl>
  </w:abstractNum>
  <w:abstractNum w:abstractNumId="4">
    <w:lvl w:ilvl="0">
      <w:start w:val="1"/>
      <w:numFmt w:val="bullet"/>
      <w:lvlText w:val=""/>
      <w:lvlJc w:val="start"/>
      <w:pPr>
        <w:tabs>
          <w:tab w:val="num" w:pos="360"/>
        </w:tabs>
        <w:ind w:start="360" w:hanging="360"/>
      </w:pPr>
      <w:rPr>
        <w:rFonts w:ascii="Symbol" w:hAnsi="Symbol" w:cs="Symbol" w:hint="default"/>
      </w:rPr>
    </w:lvl>
  </w:abstractNum>
  <w:abstractNum w:abstractNumId="5">
    <w:lvl w:ilvl="0">
      <w:start w:val="1"/>
      <w:numFmt w:val="bullet"/>
      <w:lvlText w:val=""/>
      <w:lvlJc w:val="start"/>
      <w:pPr>
        <w:tabs>
          <w:tab w:val="num" w:pos="360"/>
        </w:tabs>
        <w:ind w:start="360" w:hanging="360"/>
      </w:pPr>
      <w:rPr>
        <w:rFonts w:ascii="Symbol" w:hAnsi="Symbol" w:cs="Symbol" w:hint="default"/>
        <w:sz w:val="16"/>
      </w:rPr>
    </w:lvl>
  </w:abstractNum>
  <w:abstractNum w:abstractNumId="6">
    <w:lvl w:ilvl="0">
      <w:start w:val="1"/>
      <w:numFmt w:val="bullet"/>
      <w:lvlText w:val=""/>
      <w:lvlJc w:val="start"/>
      <w:pPr>
        <w:tabs>
          <w:tab w:val="num" w:pos="360"/>
        </w:tabs>
        <w:ind w:start="360" w:hanging="360"/>
      </w:pPr>
      <w:rPr>
        <w:rFonts w:ascii="Wingdings" w:hAnsi="Wingdings" w:cs="Wingdings" w:hint="default"/>
      </w:rPr>
    </w:lvl>
  </w:abstractNum>
  <w:abstractNum w:abstractNumId="7">
    <w:lvl w:ilvl="0">
      <w:start w:val="1"/>
      <w:numFmt w:val="bullet"/>
      <w:lvlText w:val=""/>
      <w:lvlJc w:val="start"/>
      <w:pPr>
        <w:tabs>
          <w:tab w:val="num" w:pos="360"/>
        </w:tabs>
        <w:ind w:start="360" w:hanging="360"/>
      </w:pPr>
      <w:rPr>
        <w:rFonts w:ascii="Wingdings" w:hAnsi="Wingdings" w:cs="Wingdings" w:hint="default"/>
      </w:rPr>
    </w:lvl>
  </w:abstractNum>
  <w:abstractNum w:abstractNumId="8">
    <w:lvl w:ilvl="0">
      <w:start w:val="1"/>
      <w:numFmt w:val="bullet"/>
      <w:lvlText w:val=""/>
      <w:lvlJc w:val="start"/>
      <w:pPr>
        <w:tabs>
          <w:tab w:val="num" w:pos="360"/>
        </w:tabs>
        <w:ind w:start="360" w:hanging="360"/>
      </w:pPr>
      <w:rPr>
        <w:rFonts w:ascii="Symbol" w:hAnsi="Symbol" w:cs="Symbol" w:hint="default"/>
        <w:sz w:val="16"/>
      </w:rPr>
    </w:lvl>
  </w:abstractNum>
  <w:abstractNum w:abstractNumId="9">
    <w:lvl w:ilvl="0">
      <w:start w:val="1"/>
      <w:numFmt w:val="bullet"/>
      <w:lvlText w:val=""/>
      <w:lvlJc w:val="start"/>
      <w:pPr>
        <w:tabs>
          <w:tab w:val="num" w:pos="360"/>
        </w:tabs>
        <w:ind w:start="360" w:hanging="360"/>
      </w:pPr>
      <w:rPr>
        <w:rFonts w:ascii="Symbol" w:hAnsi="Symbol" w:cs="Symbol" w:hint="default"/>
        <w:color w:val="auto"/>
      </w:rPr>
    </w:lvl>
  </w:abstractNum>
  <w:abstractNum w:abstractNumId="10">
    <w:lvl w:ilvl="0">
      <w:numFmt w:val="bullet"/>
      <w:lvlText w:val=""/>
      <w:lvlJc w:val="start"/>
      <w:pPr>
        <w:tabs>
          <w:tab w:val="num" w:pos="283"/>
        </w:tabs>
        <w:ind w:start="283" w:hanging="283"/>
      </w:pPr>
      <w:rPr>
        <w:rFonts w:ascii="Symbol" w:hAnsi="Symbol" w:cs="Symbol" w:hint="default"/>
      </w:rPr>
    </w:lvl>
  </w:abstractNum>
  <w:abstractNum w:abstractNumId="11">
    <w:lvl w:ilvl="0">
      <w:start w:val="1"/>
      <w:numFmt w:val="decimal"/>
      <w:lvlText w:val="%1."/>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
    <w:lvl w:ilvl="0">
      <w:start w:val="1"/>
      <w:numFmt w:val="lowerLetter"/>
      <w:lvlText w:val="%1 ."/>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3">
    <w:lvl w:ilvl="0">
      <w:numFmt w:val="decimal"/>
      <w:lvlText w:val="-%1"/>
      <w:lvlJc w:val="start"/>
      <w:pPr>
        <w:tabs>
          <w:tab w:val="num" w:pos="283"/>
        </w:tabs>
        <w:ind w:start="283" w:hanging="283"/>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4">
    <w:lvl w:ilvl="0">
      <w:numFmt w:val="decimal"/>
      <w:lvlText w:val="w%1"/>
      <w:lvlJc w:val="start"/>
      <w:pPr>
        <w:tabs>
          <w:tab w:val="num" w:pos="360"/>
        </w:tabs>
        <w:ind w:start="360" w:hanging="360"/>
      </w:p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defaultTabStop w:val="708"/>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fr-FR" w:bidi="ar-SA" w:eastAsia="zh-CN"/>
    </w:rPr>
  </w:style>
  <w:style w:type="paragraph" w:styleId="Heading1">
    <w:name w:val="Heading 1"/>
    <w:basedOn w:val="Normal"/>
    <w:next w:val="Texte"/>
    <w:qFormat/>
    <w:pPr>
      <w:keepNext w:val="true"/>
      <w:numPr>
        <w:ilvl w:val="0"/>
        <w:numId w:val="1"/>
      </w:numPr>
      <w:spacing w:before="284" w:after="142"/>
      <w:jc w:val="both"/>
      <w:outlineLvl w:val="0"/>
    </w:pPr>
    <w:rPr>
      <w:rFonts w:ascii="Times New Roman Gras;Times New Roman" w:hAnsi="Times New Roman Gras;Times New Roman" w:cs="Times New Roman Gras;Times New Roman"/>
      <w:b/>
      <w:sz w:val="24"/>
    </w:rPr>
  </w:style>
  <w:style w:type="paragraph" w:styleId="Heading2">
    <w:name w:val="Heading 2"/>
    <w:basedOn w:val="Normal"/>
    <w:next w:val="Retrait0"/>
    <w:qFormat/>
    <w:pPr>
      <w:keepNext w:val="true"/>
      <w:numPr>
        <w:ilvl w:val="1"/>
        <w:numId w:val="1"/>
      </w:numPr>
      <w:spacing w:before="142" w:after="142"/>
      <w:ind w:hanging="0" w:start="284" w:end="0"/>
      <w:jc w:val="both"/>
      <w:outlineLvl w:val="1"/>
    </w:pPr>
    <w:rPr>
      <w:sz w:val="24"/>
    </w:rPr>
  </w:style>
  <w:style w:type="paragraph" w:styleId="Heading3">
    <w:name w:val="Heading 3"/>
    <w:basedOn w:val="Normal"/>
    <w:next w:val="Retrait1"/>
    <w:qFormat/>
    <w:pPr>
      <w:keepNext w:val="true"/>
      <w:numPr>
        <w:ilvl w:val="2"/>
        <w:numId w:val="1"/>
      </w:numPr>
      <w:spacing w:before="142" w:after="142"/>
      <w:ind w:hanging="0" w:start="567" w:end="0"/>
      <w:jc w:val="both"/>
      <w:outlineLvl w:val="2"/>
    </w:pPr>
    <w:rPr>
      <w:i/>
      <w:sz w:val="24"/>
    </w:rPr>
  </w:style>
  <w:style w:type="paragraph" w:styleId="Heading4">
    <w:name w:val="Heading 4"/>
    <w:basedOn w:val="Normal"/>
    <w:next w:val="Normal"/>
    <w:qFormat/>
    <w:pPr>
      <w:keepNext w:val="true"/>
      <w:jc w:val="both"/>
      <w:outlineLvl w:val="3"/>
    </w:pPr>
    <w:rPr>
      <w:b/>
      <w:sz w:val="22"/>
    </w:rPr>
  </w:style>
  <w:style w:type="paragraph" w:styleId="Heading5">
    <w:name w:val="Heading 5"/>
    <w:basedOn w:val="Normal"/>
    <w:next w:val="Normal"/>
    <w:qFormat/>
    <w:pPr>
      <w:keepNext w:val="true"/>
      <w:outlineLvl w:val="4"/>
    </w:pPr>
    <w:rPr>
      <w:rFonts w:ascii="Arial" w:hAnsi="Arial" w:cs="Arial"/>
      <w:b/>
      <w:sz w:val="22"/>
    </w:rPr>
  </w:style>
  <w:style w:type="paragraph" w:styleId="Heading6">
    <w:name w:val="Heading 6"/>
    <w:basedOn w:val="Normal"/>
    <w:next w:val="Normal"/>
    <w:qFormat/>
    <w:pPr>
      <w:keepNext w:val="true"/>
      <w:outlineLvl w:val="5"/>
    </w:pPr>
    <w:rPr>
      <w:sz w:val="24"/>
      <w:u w:val="single"/>
    </w:rPr>
  </w:style>
  <w:style w:type="paragraph" w:styleId="Heading7">
    <w:name w:val="Heading 7"/>
    <w:basedOn w:val="Normal"/>
    <w:next w:val="Normal"/>
    <w:qFormat/>
    <w:pPr>
      <w:keepNext w:val="true"/>
      <w:outlineLvl w:val="6"/>
    </w:pPr>
    <w:rPr>
      <w:i/>
      <w:u w:val="single"/>
    </w:rPr>
  </w:style>
  <w:style w:type="paragraph" w:styleId="Heading8">
    <w:name w:val="Heading 8"/>
    <w:basedOn w:val="Normal"/>
    <w:next w:val="Normal"/>
    <w:qFormat/>
    <w:pPr>
      <w:keepNext w:val="true"/>
      <w:outlineLvl w:val="7"/>
    </w:pPr>
    <w:rPr>
      <w:b/>
    </w:rPr>
  </w:style>
  <w:style w:type="paragraph" w:styleId="Heading9">
    <w:name w:val="Heading 9"/>
    <w:basedOn w:val="Normal"/>
    <w:next w:val="Normal"/>
    <w:qFormat/>
    <w:pPr>
      <w:keepNext w:val="true"/>
      <w:outlineLvl w:val="8"/>
    </w:pPr>
    <w:rPr>
      <w:u w:val="singl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style>
  <w:style w:type="character" w:styleId="WW8Num7z0">
    <w:name w:val="WW8Num7z0"/>
    <w:qFormat/>
    <w:rPr>
      <w:rFonts w:ascii="Symbol" w:hAnsi="Symbol" w:cs="Symbol"/>
    </w:rPr>
  </w:style>
  <w:style w:type="character" w:styleId="WW8Num9z0">
    <w:name w:val="WW8Num9z0"/>
    <w:qFormat/>
    <w:rPr>
      <w:rFonts w:ascii="Arial" w:hAnsi="Arial" w:eastAsia="Times New Roman"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Times New Roman" w:hAnsi="Times New Roman" w:cs="Times New Roman"/>
    </w:rPr>
  </w:style>
  <w:style w:type="character" w:styleId="WW8Num11z0">
    <w:name w:val="WW8Num11z0"/>
    <w:qFormat/>
    <w:rPr>
      <w:rFonts w:ascii="Webdings" w:hAnsi="Webdings" w:cs="Webdings"/>
    </w:rPr>
  </w:style>
  <w:style w:type="character" w:styleId="WW8Num13z0">
    <w:name w:val="WW8Num13z0"/>
    <w:qFormat/>
    <w:rPr>
      <w:rFonts w:ascii="Symbol" w:hAnsi="Symbol" w:cs="Symbol"/>
      <w:b w:val="false"/>
      <w:i w:val="false"/>
      <w:sz w:val="16"/>
    </w:rPr>
  </w:style>
  <w:style w:type="character" w:styleId="WW8Num14z0">
    <w:name w:val="WW8Num14z0"/>
    <w:qFormat/>
    <w:rPr>
      <w:rFonts w:ascii="Symbol" w:hAnsi="Symbol" w:cs="Symbol"/>
    </w:rPr>
  </w:style>
  <w:style w:type="character" w:styleId="WW8Num16z0">
    <w:name w:val="WW8Num16z0"/>
    <w:qFormat/>
    <w:rPr>
      <w:rFonts w:ascii="Symbol" w:hAnsi="Symbol" w:cs="Symbol"/>
    </w:rPr>
  </w:style>
  <w:style w:type="character" w:styleId="WW8Num17z0">
    <w:name w:val="WW8Num17z0"/>
    <w:qFormat/>
    <w:rPr>
      <w:rFonts w:ascii="Times New Roman" w:hAnsi="Times New Roman" w:cs="Times New Roman"/>
    </w:rPr>
  </w:style>
  <w:style w:type="character" w:styleId="WW8Num18z0">
    <w:name w:val="WW8Num18z0"/>
    <w:qFormat/>
    <w:rPr>
      <w:rFonts w:ascii="Symbol" w:hAnsi="Symbol" w:cs="Symbol"/>
      <w:sz w:val="16"/>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Wingdings" w:hAnsi="Wingdings" w:cs="Wingdings"/>
    </w:rPr>
  </w:style>
  <w:style w:type="character" w:styleId="WW8Num21z0">
    <w:name w:val="WW8Num21z0"/>
    <w:qFormat/>
    <w:rPr>
      <w:rFonts w:ascii="Wingdings" w:hAnsi="Wingdings" w:cs="Wingdings"/>
    </w:rPr>
  </w:style>
  <w:style w:type="character" w:styleId="WW8Num22z0">
    <w:name w:val="WW8Num22z0"/>
    <w:qFormat/>
    <w:rPr>
      <w:rFonts w:ascii="Symbol" w:hAnsi="Symbol" w:cs="Symbol"/>
      <w:color w:val="000000"/>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rFonts w:ascii="Arial" w:hAnsi="Arial" w:eastAsia="Times New Roman" w:cs="Arial"/>
    </w:rPr>
  </w:style>
  <w:style w:type="character" w:styleId="WW8Num24z0">
    <w:name w:val="WW8Num24z0"/>
    <w:qFormat/>
    <w:rPr>
      <w:rFonts w:ascii="Times New Roman" w:hAnsi="Times New Roman" w:cs="Times New Roman"/>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ascii="Symbol" w:hAnsi="Symbol" w:cs="Symbol"/>
      <w:sz w:val="16"/>
    </w:rPr>
  </w:style>
  <w:style w:type="character" w:styleId="WW8Num31z0">
    <w:name w:val="WW8Num31z0"/>
    <w:qFormat/>
    <w:rPr>
      <w:rFonts w:ascii="Symbol" w:hAnsi="Symbol" w:cs="Symbol"/>
      <w:color w:val="auto"/>
    </w:rPr>
  </w:style>
  <w:style w:type="character" w:styleId="WW8Num32z0">
    <w:name w:val="WW8Num32z0"/>
    <w:qFormat/>
    <w:rPr/>
  </w:style>
  <w:style w:type="character" w:styleId="WW8Num33z0">
    <w:name w:val="WW8Num33z0"/>
    <w:qFormat/>
    <w:rPr>
      <w:rFonts w:ascii="Times New Roman" w:hAnsi="Times New Roman" w:cs="Times New Roman"/>
    </w:rPr>
  </w:style>
  <w:style w:type="character" w:styleId="WW8Num34z0">
    <w:name w:val="WW8Num34z0"/>
    <w:qFormat/>
    <w:rPr>
      <w:rFonts w:ascii="Times New Roman" w:hAnsi="Times New Roman" w:cs="Times New Roman"/>
    </w:rPr>
  </w:style>
  <w:style w:type="character" w:styleId="WW8NumSt16z0">
    <w:name w:val="WW8NumSt16z0"/>
    <w:qFormat/>
    <w:rPr>
      <w:rFonts w:ascii="Times" w:hAnsi="Times" w:cs="Times"/>
      <w:sz w:val="24"/>
    </w:rPr>
  </w:style>
  <w:style w:type="character" w:styleId="WW8NumSt23z0">
    <w:name w:val="WW8NumSt23z0"/>
    <w:qFormat/>
    <w:rPr>
      <w:rFonts w:ascii="Symbol" w:hAnsi="Symbol" w:cs="Symbol"/>
    </w:rPr>
  </w:style>
  <w:style w:type="character" w:styleId="WW8NumSt36z0">
    <w:name w:val="WW8NumSt36z0"/>
    <w:qFormat/>
    <w:rPr>
      <w:rFonts w:ascii="Symbol" w:hAnsi="Symbol" w:cs="Symbol"/>
    </w:rPr>
  </w:style>
  <w:style w:type="character" w:styleId="WW8NumSt36z1">
    <w:name w:val="WW8NumSt36z1"/>
    <w:qFormat/>
    <w:rPr>
      <w:rFonts w:ascii="Courier New" w:hAnsi="Courier New" w:cs="Courier New"/>
    </w:rPr>
  </w:style>
  <w:style w:type="character" w:styleId="WW8NumSt36z2">
    <w:name w:val="WW8NumSt36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HeaderChar">
    <w:name w:val="Header Char"/>
    <w:qFormat/>
    <w:rPr/>
  </w:style>
  <w:style w:type="character" w:styleId="Hyperlink">
    <w:name w:val="Hyperlink"/>
    <w:rPr>
      <w:color w:val="0000FF"/>
      <w:u w:val="single"/>
    </w:rPr>
  </w:style>
  <w:style w:type="paragraph" w:styleId="Heading">
    <w:name w:val="Heading"/>
    <w:basedOn w:val="Normal"/>
    <w:next w:val="BodyText"/>
    <w:qFormat/>
    <w:pPr>
      <w:keepNext w:val="true"/>
      <w:spacing w:before="240" w:after="120"/>
    </w:pPr>
    <w:rPr>
      <w:rFonts w:ascii="Arial" w:hAnsi="Arial" w:eastAsia="Arial" w:cs="Times New Roman"/>
      <w:sz w:val="28"/>
      <w:szCs w:val="28"/>
    </w:rPr>
  </w:style>
  <w:style w:type="paragraph" w:styleId="BodyText">
    <w:name w:val="Body Text"/>
    <w:basedOn w:val="Normal"/>
    <w:pPr>
      <w:spacing w:before="0" w:after="141"/>
      <w:jc w:val="both"/>
    </w:pPr>
    <w:rPr>
      <w:rFonts w:ascii="Arial MT" w:hAnsi="Arial MT" w:cs="Arial MT"/>
    </w:rPr>
  </w:style>
  <w:style w:type="paragraph" w:styleId="List">
    <w:name w:val="List"/>
    <w:basedOn w:val="BodyText"/>
    <w:pPr/>
    <w:rPr>
      <w:rFonts w:cs="Times New Roman"/>
    </w:rPr>
  </w:style>
  <w:style w:type="paragraph" w:styleId="Caption">
    <w:name w:val="Caption"/>
    <w:basedOn w:val="Normal"/>
    <w:qFormat/>
    <w:pPr>
      <w:suppressLineNumbers/>
      <w:spacing w:before="120" w:after="120"/>
    </w:pPr>
    <w:rPr>
      <w:rFonts w:cs="Times New Roman"/>
      <w:i/>
      <w:iCs/>
      <w:sz w:val="24"/>
      <w:szCs w:val="24"/>
    </w:rPr>
  </w:style>
  <w:style w:type="paragraph" w:styleId="Index">
    <w:name w:val="Index"/>
    <w:basedOn w:val="Normal"/>
    <w:qFormat/>
    <w:pPr>
      <w:suppressLineNumbers/>
    </w:pPr>
    <w:rPr>
      <w:rFonts w:cs="Times New Roman"/>
    </w:rPr>
  </w:style>
  <w:style w:type="paragraph" w:styleId="Liste1">
    <w:name w:val="Liste 1"/>
    <w:basedOn w:val="Normal"/>
    <w:qFormat/>
    <w:pPr>
      <w:numPr>
        <w:ilvl w:val="0"/>
        <w:numId w:val="11"/>
      </w:numPr>
      <w:spacing w:before="142" w:after="0"/>
      <w:ind w:hanging="283" w:start="567" w:end="0"/>
      <w:jc w:val="both"/>
    </w:pPr>
    <w:rPr>
      <w:sz w:val="24"/>
    </w:rPr>
  </w:style>
  <w:style w:type="paragraph" w:styleId="Listea">
    <w:name w:val="Liste a"/>
    <w:basedOn w:val="Liste1"/>
    <w:qFormat/>
    <w:pPr>
      <w:numPr>
        <w:ilvl w:val="0"/>
        <w:numId w:val="12"/>
      </w:numPr>
      <w:ind w:hanging="283" w:start="853" w:end="0"/>
    </w:pPr>
    <w:rPr/>
  </w:style>
  <w:style w:type="paragraph" w:styleId="Noms">
    <w:name w:val="Noms"/>
    <w:basedOn w:val="Normal"/>
    <w:qFormat/>
    <w:pPr>
      <w:keepLines/>
      <w:tabs>
        <w:tab w:val="clear" w:pos="708"/>
        <w:tab w:val="left" w:pos="360" w:leader="none"/>
        <w:tab w:val="left" w:pos="3402" w:leader="none"/>
        <w:tab w:val="left" w:pos="3686" w:leader="none"/>
        <w:tab w:val="left" w:pos="4536" w:leader="none"/>
        <w:tab w:val="left" w:pos="5670" w:leader="none"/>
        <w:tab w:val="left" w:pos="6804" w:leader="none"/>
        <w:tab w:val="left" w:pos="7938" w:leader="none"/>
      </w:tabs>
      <w:ind w:hanging="0" w:start="2778" w:end="0"/>
    </w:pPr>
    <w:rPr>
      <w:sz w:val="24"/>
    </w:rPr>
  </w:style>
  <w:style w:type="paragraph" w:styleId="Objet">
    <w:name w:val="Objet"/>
    <w:basedOn w:val="Normal"/>
    <w:qFormat/>
    <w:pPr/>
    <w:rPr>
      <w:sz w:val="24"/>
    </w:rPr>
  </w:style>
  <w:style w:type="paragraph" w:styleId="Puce">
    <w:name w:val="Puce"/>
    <w:basedOn w:val="Normal"/>
    <w:qFormat/>
    <w:pPr>
      <w:numPr>
        <w:ilvl w:val="0"/>
        <w:numId w:val="9"/>
      </w:numPr>
      <w:spacing w:before="142" w:after="0"/>
      <w:jc w:val="both"/>
    </w:pPr>
    <w:rPr>
      <w:sz w:val="24"/>
    </w:rPr>
  </w:style>
  <w:style w:type="paragraph" w:styleId="Pflche">
    <w:name w:val="P. flèche"/>
    <w:basedOn w:val="Puce"/>
    <w:qFormat/>
    <w:pPr>
      <w:numPr>
        <w:ilvl w:val="0"/>
        <w:numId w:val="7"/>
      </w:numPr>
    </w:pPr>
    <w:rPr/>
  </w:style>
  <w:style w:type="paragraph" w:styleId="Plosange">
    <w:name w:val="P. losange"/>
    <w:basedOn w:val="Puce"/>
    <w:qFormat/>
    <w:pPr>
      <w:numPr>
        <w:ilvl w:val="0"/>
        <w:numId w:val="4"/>
      </w:numPr>
    </w:pPr>
    <w:rPr/>
  </w:style>
  <w:style w:type="paragraph" w:styleId="Pmarque">
    <w:name w:val="P. marque"/>
    <w:basedOn w:val="Puce"/>
    <w:qFormat/>
    <w:pPr>
      <w:numPr>
        <w:ilvl w:val="0"/>
        <w:numId w:val="6"/>
      </w:numPr>
    </w:pPr>
    <w:rPr/>
  </w:style>
  <w:style w:type="paragraph" w:styleId="Ppoint">
    <w:name w:val="P. point"/>
    <w:basedOn w:val="Puce"/>
    <w:qFormat/>
    <w:pPr>
      <w:numPr>
        <w:ilvl w:val="0"/>
        <w:numId w:val="5"/>
      </w:numPr>
    </w:pPr>
    <w:rPr/>
  </w:style>
  <w:style w:type="paragraph" w:styleId="Ptiret">
    <w:name w:val="P. tiret"/>
    <w:basedOn w:val="Ppoint"/>
    <w:qFormat/>
    <w:pPr>
      <w:numPr>
        <w:ilvl w:val="0"/>
        <w:numId w:val="8"/>
      </w:numPr>
    </w:pPr>
    <w:rPr/>
  </w:style>
  <w:style w:type="paragraph" w:styleId="Ptriangle">
    <w:name w:val="P. triangle"/>
    <w:basedOn w:val="Puce"/>
    <w:qFormat/>
    <w:pPr>
      <w:numPr>
        <w:ilvl w:val="0"/>
        <w:numId w:val="3"/>
      </w:numPr>
    </w:pPr>
    <w:rPr/>
  </w:style>
  <w:style w:type="paragraph" w:styleId="Retrait0">
    <w:name w:val="Retrait 0"/>
    <w:basedOn w:val="Normal"/>
    <w:qFormat/>
    <w:pPr>
      <w:spacing w:before="142" w:after="0"/>
      <w:ind w:hanging="0" w:start="284" w:end="0"/>
      <w:jc w:val="both"/>
    </w:pPr>
    <w:rPr>
      <w:sz w:val="24"/>
    </w:rPr>
  </w:style>
  <w:style w:type="paragraph" w:styleId="Retrait1">
    <w:name w:val="Retrait 1"/>
    <w:basedOn w:val="Retrait0"/>
    <w:qFormat/>
    <w:pPr>
      <w:ind w:hanging="0" w:start="567" w:end="0"/>
    </w:pPr>
    <w:rPr/>
  </w:style>
  <w:style w:type="paragraph" w:styleId="Retrait2">
    <w:name w:val="Retrait 2"/>
    <w:basedOn w:val="Retrait1"/>
    <w:qFormat/>
    <w:pPr>
      <w:ind w:hanging="0" w:start="1559" w:end="0"/>
    </w:pPr>
    <w:rPr/>
  </w:style>
  <w:style w:type="paragraph" w:styleId="Retrait150">
    <w:name w:val="Retrait1.50"/>
    <w:basedOn w:val="Retrait1"/>
    <w:qFormat/>
    <w:pPr>
      <w:ind w:hanging="0" w:start="851" w:end="0"/>
    </w:pPr>
    <w:rPr/>
  </w:style>
  <w:style w:type="paragraph" w:styleId="Texte">
    <w:name w:val="Texte"/>
    <w:basedOn w:val="Normal"/>
    <w:qFormat/>
    <w:pPr>
      <w:keepLines/>
      <w:tabs>
        <w:tab w:val="clear" w:pos="708"/>
        <w:tab w:val="left" w:pos="426"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spacing w:before="141" w:after="0"/>
      <w:jc w:val="both"/>
    </w:pPr>
    <w:rPr>
      <w:sz w:val="24"/>
    </w:rPr>
  </w:style>
  <w:style w:type="paragraph" w:styleId="Textecran">
    <w:name w:val="Texte écran"/>
    <w:basedOn w:val="Normal"/>
    <w:qFormat/>
    <w:pPr>
      <w:ind w:firstLine="567" w:start="567" w:end="0"/>
    </w:pPr>
    <w:rPr>
      <w:rFonts w:ascii="Letter Gothic;Courier New" w:hAnsi="Letter Gothic;Courier New" w:cs="Letter Gothic;Courier New"/>
      <w:sz w:val="16"/>
    </w:rPr>
  </w:style>
  <w:style w:type="paragraph" w:styleId="Textetableau">
    <w:name w:val="Texte tableau"/>
    <w:basedOn w:val="Normal"/>
    <w:qFormat/>
    <w:pPr/>
    <w:rPr>
      <w:sz w:val="24"/>
    </w:rPr>
  </w:style>
  <w:style w:type="paragraph" w:styleId="Txtcompact">
    <w:name w:val="Txt compact"/>
    <w:basedOn w:val="Normal"/>
    <w:qFormat/>
    <w:pPr>
      <w:keepLines/>
      <w:tabs>
        <w:tab w:val="clear" w:pos="708"/>
        <w:tab w:val="left" w:pos="851"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ind w:firstLine="426" w:start="0" w:end="0"/>
      <w:jc w:val="both"/>
    </w:pPr>
    <w:rPr>
      <w:sz w:val="24"/>
    </w:rPr>
  </w:style>
  <w:style w:type="paragraph" w:styleId="tiret">
    <w:name w:val="tiret"/>
    <w:basedOn w:val="Normal"/>
    <w:qFormat/>
    <w:pPr>
      <w:numPr>
        <w:ilvl w:val="0"/>
        <w:numId w:val="13"/>
      </w:numPr>
      <w:spacing w:before="0" w:after="141"/>
      <w:jc w:val="both"/>
    </w:pPr>
    <w:rPr>
      <w:rFonts w:ascii="Arial MT" w:hAnsi="Arial MT" w:cs="Arial MT"/>
      <w:lang w:val="en-US"/>
    </w:rPr>
  </w:style>
  <w:style w:type="paragraph" w:styleId="Textepardfaut">
    <w:name w:val="Texte par défaut"/>
    <w:basedOn w:val="Normal"/>
    <w:qFormat/>
    <w:pPr/>
    <w:rPr>
      <w:sz w:val="24"/>
      <w:lang w:val="en-US"/>
    </w:rPr>
  </w:style>
  <w:style w:type="paragraph" w:styleId="BodyText1">
    <w:name w:val="Body Text1"/>
    <w:basedOn w:val="Normal"/>
    <w:qFormat/>
    <w:pPr>
      <w:spacing w:before="0" w:after="141"/>
      <w:jc w:val="both"/>
    </w:pPr>
    <w:rPr>
      <w:sz w:val="24"/>
      <w:lang w:val="en-US" w:eastAsia="en-US"/>
    </w:rPr>
  </w:style>
  <w:style w:type="paragraph" w:styleId="BodyText2">
    <w:name w:val="Body Text 2"/>
    <w:basedOn w:val="Normal"/>
    <w:qFormat/>
    <w:pPr>
      <w:jc w:val="both"/>
    </w:pPr>
    <w:rPr>
      <w:rFonts w:ascii="Arial" w:hAnsi="Arial" w:cs="Arial"/>
    </w:rPr>
  </w:style>
  <w:style w:type="paragraph" w:styleId="WPBullets">
    <w:name w:val="WP Bullets"/>
    <w:basedOn w:val="Normal"/>
    <w:qFormat/>
    <w:pPr>
      <w:numPr>
        <w:ilvl w:val="0"/>
        <w:numId w:val="14"/>
      </w:numPr>
      <w:spacing w:before="0" w:after="141"/>
      <w:jc w:val="both"/>
    </w:pPr>
    <w:rPr>
      <w:rFonts w:ascii="Arial MT" w:hAnsi="Arial MT" w:cs="Arial MT"/>
    </w:rPr>
  </w:style>
  <w:style w:type="paragraph" w:styleId="BodyText3">
    <w:name w:val="Body Text 3"/>
    <w:basedOn w:val="Normal"/>
    <w:qFormat/>
    <w:pPr>
      <w:jc w:val="both"/>
    </w:pPr>
    <w:rPr>
      <w:b/>
      <w:color w:val="800080"/>
      <w:sz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ARTICLEREGLEMENT">
    <w:name w:val="ARTICLE_REGLEMENT"/>
    <w:qFormat/>
    <w:pPr>
      <w:widowControl/>
      <w:bidi w:val="0"/>
      <w:spacing w:before="120" w:after="60"/>
      <w:ind w:hanging="340" w:start="340" w:end="0"/>
      <w:jc w:val="center"/>
    </w:pPr>
    <w:rPr>
      <w:rFonts w:ascii="GillSans;Calibri" w:hAnsi="GillSans;Calibri" w:eastAsia="Times New Roman" w:cs="GillSans;Calibri"/>
      <w:b/>
      <w:color w:val="auto"/>
      <w:sz w:val="22"/>
      <w:szCs w:val="20"/>
      <w:lang w:val="fr-FR" w:bidi="ar-SA" w:eastAsia="zh-CN"/>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ourier New" w:hAnsi="Courier New" w:cs="Courier New"/>
    </w:rPr>
  </w:style>
  <w:style w:type="paragraph" w:styleId="Titre3Niveau111">
    <w:name w:val="Titre 3.Niveau 1 1 1"/>
    <w:basedOn w:val="Normal"/>
    <w:next w:val="Normal"/>
    <w:qFormat/>
    <w:pPr>
      <w:keepNext w:val="true"/>
      <w:spacing w:before="142" w:after="142"/>
      <w:jc w:val="center"/>
      <w:outlineLvl w:val="2"/>
    </w:pPr>
    <w:rPr>
      <w:b/>
      <w:sz w:val="24"/>
      <w:u w:val="single"/>
    </w:rPr>
  </w:style>
  <w:style w:type="paragraph" w:styleId="ssPara1">
    <w:name w:val="ssPara1"/>
    <w:basedOn w:val="Normal"/>
    <w:qFormat/>
    <w:pPr>
      <w:spacing w:lineRule="atLeast" w:line="260" w:before="0" w:after="260"/>
      <w:jc w:val="both"/>
    </w:pPr>
    <w:rPr>
      <w:rFonts w:ascii="Arial" w:hAnsi="Arial" w:cs="Arial"/>
      <w:sz w:val="22"/>
      <w:szCs w:val="22"/>
      <w:lang w:val="en-GB"/>
    </w:rPr>
  </w:style>
  <w:style w:type="paragraph" w:styleId="tabulationadresse">
    <w:name w:val="tabulation adresse"/>
    <w:qFormat/>
    <w:pPr>
      <w:widowControl/>
      <w:tabs>
        <w:tab w:val="clear" w:pos="708"/>
        <w:tab w:val="left" w:pos="-23" w:leader="none"/>
        <w:tab w:val="left" w:pos="4729" w:leader="none"/>
        <w:tab w:val="left" w:pos="4933" w:leader="none"/>
        <w:tab w:val="left" w:pos="5641" w:leader="none"/>
        <w:tab w:val="left" w:pos="6349" w:leader="none"/>
        <w:tab w:val="left" w:pos="7057" w:leader="none"/>
        <w:tab w:val="left" w:pos="7765" w:leader="none"/>
        <w:tab w:val="left" w:pos="8473" w:leader="none"/>
      </w:tabs>
      <w:suppressAutoHyphens w:val="true"/>
      <w:bidi w:val="0"/>
    </w:pPr>
    <w:rPr>
      <w:rFonts w:ascii="Courier" w:hAnsi="Courier" w:eastAsia="Times New Roman" w:cs="Courier"/>
      <w:color w:val="auto"/>
      <w:sz w:val="24"/>
      <w:szCs w:val="20"/>
      <w:lang w:val="fr-FR" w:bidi="ar-SA" w:eastAsia="zh-CN"/>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Default">
    <w:name w:val="Default"/>
    <w:qFormat/>
    <w:pPr>
      <w:widowControl/>
      <w:autoSpaceDE w:val="false"/>
      <w:bidi w:val="0"/>
    </w:pPr>
    <w:rPr>
      <w:rFonts w:ascii="Arial" w:hAnsi="Arial" w:eastAsia="Times New Roman" w:cs="Arial"/>
      <w:color w:val="000000"/>
      <w:sz w:val="24"/>
      <w:szCs w:val="24"/>
      <w:lang w:val="fr-FR" w:bidi="en-US" w:eastAsia="zh-CN"/>
    </w:rPr>
  </w:style>
  <w:style w:type="paragraph" w:styleId="ListParagraph">
    <w:name w:val="List Paragraph"/>
    <w:basedOn w:val="Normal"/>
    <w:qFormat/>
    <w:pPr>
      <w:ind w:hanging="0" w:start="708" w:end="0"/>
    </w:pPr>
    <w:rPr/>
  </w:style>
  <w:style w:type="paragraph" w:styleId="Revision">
    <w:name w:val="Revision"/>
    <w:qFormat/>
    <w:pPr>
      <w:widowControl/>
      <w:bidi w:val="0"/>
    </w:pPr>
    <w:rPr>
      <w:rFonts w:ascii="Times New Roman" w:hAnsi="Times New Roman" w:eastAsia="Times New Roman" w:cs="Times New Roman"/>
      <w:color w:val="auto"/>
      <w:sz w:val="20"/>
      <w:szCs w:val="20"/>
      <w:lang w:val="fr-FR" w:bidi="ar-SA" w:eastAsia="zh-CN"/>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2024-09-12T14:09:00Z</dcterms:created>
  <dc:creator>C.C.B.P.</dc:creator>
  <dc:description/>
  <cp:keywords/>
  <dc:language>en-US</dc:language>
  <cp:lastModifiedBy>Faubel, Axel</cp:lastModifiedBy>
  <cp:lastPrinted>2008-03-28T15:22:00Z</cp:lastPrinted>
  <dcterms:modified xsi:type="dcterms:W3CDTF">2026-09-24T08:27:00Z</dcterms:modified>
  <cp:revision>12</cp:revision>
  <dc:subject/>
  <dc:title>CONVERTIBLE BOND EUROPE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83a6fe-0b6e-4399-9d09-a1c8d8d5000c_Application">
    <vt:lpwstr>Microsoft Azure Information Protection</vt:lpwstr>
  </property>
  <property fmtid="{D5CDD505-2E9C-101B-9397-08002B2CF9AE}" pid="3" name="MSIP_Label_6e83a6fe-0b6e-4399-9d09-a1c8d8d5000c_Enabled">
    <vt:lpwstr>True</vt:lpwstr>
  </property>
  <property fmtid="{D5CDD505-2E9C-101B-9397-08002B2CF9AE}" pid="4" name="MSIP_Label_6e83a6fe-0b6e-4399-9d09-a1c8d8d5000c_Extended_MSFT_Method">
    <vt:lpwstr>Automatic</vt:lpwstr>
  </property>
  <property fmtid="{D5CDD505-2E9C-101B-9397-08002B2CF9AE}" pid="5" name="MSIP_Label_6e83a6fe-0b6e-4399-9d09-a1c8d8d5000c_Name">
    <vt:lpwstr>C1 - Public Natixis</vt:lpwstr>
  </property>
  <property fmtid="{D5CDD505-2E9C-101B-9397-08002B2CF9AE}" pid="6" name="MSIP_Label_6e83a6fe-0b6e-4399-9d09-a1c8d8d5000c_Owner">
    <vt:lpwstr>sfethi@cib.net</vt:lpwstr>
  </property>
  <property fmtid="{D5CDD505-2E9C-101B-9397-08002B2CF9AE}" pid="7" name="MSIP_Label_6e83a6fe-0b6e-4399-9d09-a1c8d8d5000c_SetDate">
    <vt:lpwstr>2019-03-04T10:58:07.5225416Z</vt:lpwstr>
  </property>
  <property fmtid="{D5CDD505-2E9C-101B-9397-08002B2CF9AE}" pid="8" name="MSIP_Label_6e83a6fe-0b6e-4399-9d09-a1c8d8d5000c_SiteId">
    <vt:lpwstr>d5bb6d35-8a82-4329-b49a-5030bd6497ab</vt:lpwstr>
  </property>
  <property fmtid="{D5CDD505-2E9C-101B-9397-08002B2CF9AE}" pid="9" name="Sensitivity">
    <vt:lpwstr>C1 - Public Natixis</vt:lpwstr>
  </property>
</Properties>
</file>