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rPr>
      </w:pPr>
      <w:r>
        <w:rPr>
          <w:rFonts w:cs="Corbel" w:ascii="Corbel" w:hAnsi="Corbel"/>
          <w:b/>
          <w:caps/>
          <w:sz w:val="22"/>
        </w:rPr>
        <w:t>H2O INVEST</w:t>
      </w:r>
    </w:p>
    <w:p>
      <w:pPr>
        <w:pStyle w:val="Normal"/>
        <w:jc w:val="center"/>
        <w:rPr>
          <w:rFonts w:ascii="Corbel" w:hAnsi="Corbel" w:cs="Arial"/>
        </w:rPr>
      </w:pPr>
      <w:r>
        <w:rPr>
          <w:rFonts w:cs="Corbel" w:ascii="Corbel" w:hAnsi="Corbel"/>
        </w:rPr>
        <w:t>An open-ended investment company governed by French law in the form of a simplified joint stock company (</w:t>
      </w:r>
      <w:r>
        <w:rPr>
          <w:rFonts w:cs="Corbel" w:ascii="Corbel" w:hAnsi="Corbel"/>
          <w:i/>
          <w:iCs/>
        </w:rPr>
        <w:t>société par actions simplifiée</w:t>
      </w:r>
      <w:r>
        <w:rPr>
          <w:rFonts w:cs="Corbel" w:ascii="Corbel" w:hAnsi="Corbel"/>
        </w:rPr>
        <w:t xml:space="preserve"> – SAS) with an initial share capital of €9,163,641.46</w:t>
        <w:br/>
        <w:t>Registered office: 39 Avenue Pierre 1</w:t>
      </w:r>
      <w:r>
        <w:rPr>
          <w:rFonts w:cs="Corbel" w:ascii="Corbel" w:hAnsi="Corbel"/>
          <w:vertAlign w:val="superscript"/>
        </w:rPr>
        <w:t>er</w:t>
      </w:r>
      <w:r>
        <w:rPr>
          <w:rFonts w:cs="Corbel" w:ascii="Corbel" w:hAnsi="Corbel"/>
        </w:rPr>
        <w:t xml:space="preserve"> de Serbie – 75008 Paris, France</w:t>
        <w:br/>
        <w:t>Paris Trade and Companies Register (RCS) No.</w:t>
      </w:r>
      <w:r>
        <w:rPr>
          <w:rFonts w:cs="Corbel" w:ascii="Corbel" w:hAnsi="Corbel"/>
          <w:color w:val="000000"/>
        </w:rPr>
        <w:t xml:space="preserve"> </w:t>
      </w:r>
      <w:r>
        <w:rPr>
          <w:rFonts w:cs="Corbel" w:ascii="Corbel" w:hAnsi="Corbel"/>
        </w:rPr>
        <w:t>532 900 081</w:t>
      </w:r>
    </w:p>
    <w:p>
      <w:pPr>
        <w:pStyle w:val="BodyText"/>
        <w:rPr>
          <w:rFonts w:ascii="Corbel" w:hAnsi="Corbel" w:cs="Corbel"/>
        </w:rPr>
      </w:pPr>
      <w:r>
        <w:rPr>
          <w:rFonts w:cs="Corbel" w:ascii="Corbel" w:hAnsi="Corbel"/>
        </w:rPr>
      </w:r>
    </w:p>
    <w:p>
      <w:pPr>
        <w:pStyle w:val="BodyText"/>
        <w:keepNext/>
        <w:keepLines/>
        <w:spacing w:before="0" w:after="0"/>
        <w:jc w:val="center"/>
        <w:rPr>
          <w:rFonts w:ascii="Corbel" w:hAnsi="Corbel" w:cs="Arial"/>
          <w:b/>
          <w:u w:val="single"/>
        </w:rPr>
      </w:pPr>
      <w:r>
        <w:rPr>
          <w:rFonts w:cs="Corbel" w:ascii="Corbel" w:hAnsi="Corbel"/>
          <w:b/>
          <w:u w:val="single"/>
        </w:rPr>
        <w:t>NOTICE OF MEETING</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Corbel" w:ascii="Corbel" w:hAnsi="Corbel"/>
        </w:rPr>
        <w:t xml:space="preserve">The Company’s shareholders are hereby notified of an Annual Ordinary General Meeting taking place on 30 October 2026 </w:t>
      </w:r>
    </w:p>
    <w:p>
      <w:pPr>
        <w:pStyle w:val="Normal"/>
        <w:keepNext/>
        <w:keepLines/>
        <w:ind w:end="-143"/>
        <w:jc w:val="both"/>
        <w:rPr>
          <w:rFonts w:ascii="Corbel" w:hAnsi="Corbel" w:cs="Arial"/>
        </w:rPr>
      </w:pPr>
      <w:r>
        <w:rPr>
          <w:rFonts w:cs="Corbel" w:ascii="Corbel" w:hAnsi="Corbel"/>
        </w:rPr>
        <w:t>at 10:00 a.m., in order to deliberate the agenda below:</w:t>
      </w:r>
    </w:p>
    <w:p>
      <w:pPr>
        <w:pStyle w:val="Normal"/>
        <w:keepNext/>
        <w:ind w:end="-46"/>
        <w:jc w:val="both"/>
        <w:rPr>
          <w:rFonts w:ascii="Corbel" w:hAnsi="Corbel" w:cs="Arial"/>
        </w:rPr>
      </w:pPr>
      <w:r>
        <w:rPr>
          <w:rFonts w:cs="Arial" w:ascii="Corbel" w:hAnsi="Corbel"/>
        </w:rPr>
      </w:r>
    </w:p>
    <w:p>
      <w:pPr>
        <w:pStyle w:val="Normal"/>
        <w:keepNext/>
        <w:keepLines/>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Corbel" w:ascii="Corbel" w:hAnsi="Corbel"/>
          <w:b/>
          <w:u w:val="single"/>
        </w:rPr>
        <w:t>AGENDA</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Reading of the Chairman and Statutory Auditor’s reports on the financial statements for the financial year ended 30 June 2026;</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 xml:space="preserve">Reading of the Statutory Auditor’s special report on the agreements referred to in Article </w:t>
        <w:t>L. 227-10 of the French Commercial Code;</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Review and approval of the annual financial statements, discharge of the Chairman;</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Allocation of distributable income;</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Powers for the completion of formalities.</w:t>
      </w:r>
    </w:p>
    <w:p>
      <w:pPr>
        <w:pStyle w:val="Normal"/>
        <w:tabs>
          <w:tab w:val="clear" w:pos="708"/>
          <w:tab w:val="left" w:pos="8640" w:leader="none"/>
          <w:tab w:val="right" w:pos="9072" w:leader="dot"/>
        </w:tabs>
        <w:jc w:val="both"/>
        <w:rPr>
          <w:rFonts w:ascii="Corbel" w:hAnsi="Corbel" w:cs="Arial"/>
          <w:spacing w:val="-2"/>
          <w:highlight w:val="yellow"/>
        </w:rPr>
      </w:pPr>
      <w:r>
        <w:rPr>
          <w:rFonts w:cs="Arial" w:ascii="Corbel" w:hAnsi="Corbel"/>
          <w:spacing w:val="-2"/>
          <w:highlight w:val="yellow"/>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rFonts w:ascii="Corbel" w:hAnsi="Corbel" w:cs="Arial"/>
          <w:sz w:val="22"/>
          <w:szCs w:val="22"/>
        </w:rPr>
      </w:pPr>
      <w:r>
        <w:rPr>
          <w:rFonts w:cs="Corbel" w:ascii="Corbel" w:hAnsi="Corbel"/>
          <w:sz w:val="22"/>
        </w:rPr>
        <w:t xml:space="preserve">Shareholders have the right to take part in this meeting regardless of the number of shares held, notwithstanding any contrary statutory provisions.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Attendance at General Meetings is subject to registration of the shares in the name of the shareholder or of the intermediary registered on their behalf pursuant to Article L. 228-1 of the French Commercial Code, at midnight (Paris time) on the fifth business day prior to the meeting, either in the registered share accounts held by the company or in the bearer share accounts held by the authorised intermediary.</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Registration in bearer share accounts held by the authorised intermediary must be recorded in a shareholding certificate submitted by the intermediary, if necessary electronically under the terms laid out in Article R. 225-61 of the French Commercial Code, and attached to the remote voting or proxy form or to the admission card request established in the name of the shareholder or on behalf of the shareholder represented by the registered intermediary. </w:t>
      </w:r>
    </w:p>
    <w:p>
      <w:pPr>
        <w:pStyle w:val="Normal"/>
        <w:ind w:end="-46"/>
        <w:jc w:val="both"/>
        <w:rPr>
          <w:rFonts w:ascii="Corbel" w:hAnsi="Corbel" w:cs="Arial"/>
          <w:sz w:val="22"/>
          <w:szCs w:val="22"/>
        </w:rPr>
      </w:pPr>
      <w:r>
        <w:rPr>
          <w:rFonts w:cs="Arial" w:ascii="Corbel" w:hAnsi="Corbel"/>
          <w:sz w:val="22"/>
          <w:szCs w:val="22"/>
        </w:rPr>
      </w:r>
    </w:p>
    <w:p>
      <w:pPr>
        <w:pStyle w:val="Normal"/>
        <w:keepNext/>
        <w:keepLines/>
        <w:ind w:end="-46"/>
        <w:jc w:val="both"/>
        <w:rPr>
          <w:rFonts w:ascii="Corbel" w:hAnsi="Corbel" w:cs="Arial"/>
          <w:sz w:val="22"/>
          <w:szCs w:val="22"/>
        </w:rPr>
      </w:pPr>
      <w:r>
        <w:rPr>
          <w:rFonts w:cs="Corbel" w:ascii="Corbel" w:hAnsi="Corbel"/>
          <w:sz w:val="22"/>
        </w:rPr>
        <w:t>Shareholders unable to attend this meeting in person may choose one of the following three options:</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send their proxy form to the Company, without indicating a representative;</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appoint as proxy another shareholder or their spouse or civil partner;</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vote by post.</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Shareholders who have already voted remotely, sent a proxy form or requested their admission card or shareholding certificate may transfer all or some of their shares at any time. However, should the transfer of ownership occur earlier than midnight (Paris time) five business days before the meeting, the Company shall amend or invalidate, as applicable, the remote vote, proxy form, admission card or shareholding certificate. To this end, the account-holding authorised intermediary gives notice of the transfer of ownership to the Company or to its representative and provides them with the necessary information.</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Proxy and postal voting forms are automatically mailed to pure or administered registered shareholders.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In compliance with the law, all documents that need to be communicated for this General Meeting shall be made available to shareholders, within the time frames established by law, at the </w:t>
      </w:r>
      <w:r>
        <w:rPr>
          <w:rFonts w:cs="Corbel" w:ascii="Corbel" w:hAnsi="Corbel"/>
          <w:b/>
          <w:sz w:val="22"/>
        </w:rPr>
        <w:t>H2O INVEST</w:t>
      </w:r>
      <w:r>
        <w:rPr>
          <w:rFonts w:cs="Corbel" w:ascii="Corbel" w:hAnsi="Corbel"/>
          <w:sz w:val="22"/>
        </w:rPr>
        <w:t xml:space="preserve"> registered office or transmitted upon request sent to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Corbel" w:ascii="Corbel" w:hAnsi="Corbel"/>
          <w:sz w:val="22"/>
        </w:rPr>
        <w:t xml:space="preserve">Proxy and postal voting forms will be sent to bearer shareholders on written request, received by registered post with notice of receipt, by </w:t>
      </w:r>
      <w:r>
        <w:rPr>
          <w:rFonts w:cs="Corbel" w:ascii="Corbel" w:hAnsi="Corbel"/>
          <w:b/>
          <w:sz w:val="22"/>
        </w:rPr>
        <w:t xml:space="preserve">Uptevia Service Assemblées Générales – 90-110 Esplanade du Général de Gaulle – 92931 Paris la Défense Cedex – France </w:t>
      </w:r>
      <w:r>
        <w:rPr>
          <w:rFonts w:cs="Corbel" w:ascii="Corbel" w:hAnsi="Corbel"/>
          <w:sz w:val="22"/>
        </w:rPr>
        <w:t>no later than five days before the meeting date.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Corbel" w:ascii="Corbel" w:hAnsi="Corbel"/>
          <w:sz w:val="22"/>
        </w:rPr>
        <w:t xml:space="preserve">Postal voting forms will be counted only if they are filled out in full, signed and received by </w:t>
      </w:r>
      <w:r>
        <w:rPr>
          <w:rFonts w:cs="Corbel" w:ascii="Corbel" w:hAnsi="Corbel"/>
          <w:b/>
          <w:sz w:val="22"/>
        </w:rPr>
        <w:t xml:space="preserve">Uptevia Service Assemblées Générales – 90-110 Esplanade du Général de Gaulle – 92931 Paris la Défense Cedex – France </w:t>
      </w:r>
      <w:r>
        <w:rPr>
          <w:rFonts w:cs="Corbel" w:ascii="Corbel" w:hAnsi="Corbel"/>
          <w:sz w:val="22"/>
        </w:rPr>
        <w:t>no later than two days before the meeting.</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Corbel" w:ascii="Corbel" w:hAnsi="Corbel"/>
          <w:sz w:val="22"/>
        </w:rPr>
        <w:t>Shareholders who have already voted remotely, sent a proxy form or requested their admission card or shareholding certificate are not entitled to attend the meeting in any other way, unless indicated otherwise in the articles of association.</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Shareholders may submit written questions to the Company as of the date of this document. These questions must be addressed to the Company’s registered office and sent by registered post with notice of receipt no later than four business days before the date of the General Meeting. They must include a share registration certificate.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Arial" w:ascii="Corbel" w:hAnsi="Corbel"/>
          <w:sz w:val="22"/>
          <w:szCs w:val="22"/>
        </w:rPr>
        <w:t>The updated prospectus, the key investor information documents, the articles of incorporation, as well as the most recently published periodic reports, are available free of charge at the registered office of the SICAV.</w:t>
      </w:r>
    </w:p>
    <w:p>
      <w:pPr>
        <w:pStyle w:val="Normal"/>
        <w:ind w:end="-46"/>
        <w:jc w:val="end"/>
        <w:rPr>
          <w:rFonts w:ascii="Corbel" w:hAnsi="Corbel" w:cs="Corbel"/>
          <w:sz w:val="22"/>
          <w:szCs w:val="22"/>
        </w:rPr>
      </w:pPr>
      <w:r>
        <w:rPr>
          <w:rFonts w:cs="Corbel" w:ascii="Corbel" w:hAnsi="Corbel"/>
          <w:sz w:val="22"/>
        </w:rPr>
        <w:t>The Chairman</w:t>
      </w:r>
    </w:p>
    <w:sectPr>
      <w:footerReference w:type="even" r:id="rId2"/>
      <w:footerReference w:type="default" r:id="rId3"/>
      <w:footerReference w:type="first" r:id="rId4"/>
      <w:type w:val="nextPage"/>
      <w:pgSz w:w="11906" w:h="16838"/>
      <w:pgMar w:left="1417" w:right="1417" w:gutter="0" w:header="0"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w:charset w:val="01" w:characterSet="utf-8"/>
    <w:family w:val="roman"/>
    <w:pitch w:val="variable"/>
  </w:font>
  <w:font w:name="Times New Roman Gras">
    <w:altName w:val="Times New Roman"/>
    <w:charset w:val="01" w:characterSet="utf-8"/>
    <w:family w:val="roman"/>
    <w:pitch w:val="variable"/>
  </w:font>
  <w:font w:name="Arial">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Wingdings">
    <w:charset w:val="01" w:characterSet="utf-8"/>
    <w:family w:val="roman"/>
    <w:pitch w:val="variable"/>
  </w:font>
  <w:font w:name="Webdings">
    <w:charset w:val="01" w:characterSet="utf-8"/>
    <w:family w:val="roman"/>
    <w:pitch w:val="variable"/>
  </w:font>
  <w:font w:name="Times">
    <w:altName w:val="Times New Roman"/>
    <w:charset w:val="01" w:characterSet="utf-8"/>
    <w:family w:val="roman"/>
    <w:pitch w:val="variable"/>
  </w:font>
  <w:font w:name="Arial">
    <w:altName w:val="Arial"/>
    <w:charset w:val="01" w:characterSet="utf-8"/>
    <w:family w:val="roman"/>
    <w:pitch w:val="variable"/>
  </w:font>
  <w:font w:name="Arial MT">
    <w:charset w:val="01" w:characterSet="utf-8"/>
    <w:family w:val="roman"/>
    <w:pitch w:val="variable"/>
  </w:font>
  <w:font w:name="Letter Gothic">
    <w:altName w:val="Courier New"/>
    <w:charset w:val="01" w:characterSet="utf-8"/>
    <w:family w:val="roman"/>
    <w:pitch w:val="variable"/>
  </w:font>
  <w:font w:name="GillSans">
    <w:altName w:val="Calibri"/>
    <w:charset w:val="01" w:characterSet="utf-8"/>
    <w:family w:val="roman"/>
    <w:pitch w:val="variable"/>
  </w:font>
  <w:font w:name="Tahoma">
    <w:charset w:val="01" w:characterSet="utf-8"/>
    <w:family w:val="roman"/>
    <w:pitch w:val="variable"/>
  </w:font>
  <w:font w:name="Courier">
    <w:altName w:val="Courier New"/>
    <w:charset w:val="01" w:characterSet="utf-8"/>
    <w:family w:val="roman"/>
    <w:pitch w:val="variable"/>
  </w:font>
  <w:font w:name="Corbel">
    <w:charset w:val="01" w:characterSet="utf-8"/>
    <w:family w:val="roman"/>
    <w:pitch w:val="variable"/>
  </w:font>
  <w:font w:name="Calibri">
    <w:charset w:val="01" w:characterSet="utf-8"/>
    <w:family w:val="roman"/>
    <w:pitch w:val="variable"/>
  </w:font>
  <w:font w:name="Webdings">
    <w:charset w:val="02"/>
    <w:family w:val="auto"/>
    <w:pitch w:val="variable"/>
  </w:font>
  <w:font w:name="Symbol">
    <w:charset w:val="02"/>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2"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4"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rPr/>
    </w:lvl>
    <w:lvl w:ilvl="1">
      <w:start w:val="1"/>
      <w:pStyle w:val="Heading2"/>
      <w:numFmt w:val="decimal"/>
      <w:lvlText w:val="%1.%2"/>
      <w:lvlJc w:val="start"/>
      <w:pPr>
        <w:tabs>
          <w:tab w:val="num" w:pos="0"/>
        </w:tabs>
        <w:ind w:start="0" w:hanging="0"/>
      </w:pPr>
      <w:rPr/>
    </w:lvl>
    <w:lvl w:ilvl="2">
      <w:start w:val="1"/>
      <w:pStyle w:val="Heading3"/>
      <w:numFmt w:val="decimal"/>
      <w:lvlText w:val="%1.%2.%3"/>
      <w:lvlJc w:val="start"/>
      <w:pPr>
        <w:tabs>
          <w:tab w:val="num" w:pos="0"/>
        </w:tabs>
        <w:ind w:start="0" w:hanging="0"/>
      </w:pPr>
      <w:rPr/>
    </w:lvl>
    <w:lvl w:ilvl="3">
      <w:start w:val="1"/>
      <w:numFmt w:val="decimal"/>
      <w:lvlText w:val="%1.%2.%3.%4"/>
      <w:lvlJc w:val="start"/>
      <w:pPr>
        <w:tabs>
          <w:tab w:val="num" w:pos="0"/>
        </w:tabs>
        <w:ind w:start="0" w:hanging="0"/>
      </w:pPr>
      <w:rPr/>
    </w:lvl>
    <w:lvl w:ilvl="4">
      <w:start w:val="1"/>
      <w:numFmt w:val="decimal"/>
      <w:lvlText w:val="%1.%2.%3.%4.%5"/>
      <w:lvlJc w:val="start"/>
      <w:pPr>
        <w:tabs>
          <w:tab w:val="num" w:pos="0"/>
        </w:tabs>
        <w:ind w:start="0" w:hanging="0"/>
      </w:pPr>
      <w:rPr/>
    </w:lvl>
    <w:lvl w:ilvl="5">
      <w:start w:val="1"/>
      <w:numFmt w:val="decimal"/>
      <w:lvlText w:val="%1.%2.%3.%4.%5.%6"/>
      <w:lvlJc w:val="start"/>
      <w:pPr>
        <w:tabs>
          <w:tab w:val="num" w:pos="0"/>
        </w:tabs>
        <w:ind w:start="0" w:hanging="0"/>
      </w:pPr>
      <w:rPr/>
    </w:lvl>
    <w:lvl w:ilvl="6">
      <w:start w:val="1"/>
      <w:numFmt w:val="decimal"/>
      <w:lvlText w:val="%1.%2.%3.%4.%5.%6.%7"/>
      <w:lvlJc w:val="start"/>
      <w:pPr>
        <w:tabs>
          <w:tab w:val="num" w:pos="0"/>
        </w:tabs>
        <w:ind w:start="0" w:hanging="0"/>
      </w:pPr>
      <w:rPr/>
    </w:lvl>
    <w:lvl w:ilvl="7">
      <w:start w:val="1"/>
      <w:numFmt w:val="decimal"/>
      <w:lvlText w:val="%1.%2.%3.%4.%5.%6.%7.%8"/>
      <w:lvlJc w:val="start"/>
      <w:pPr>
        <w:tabs>
          <w:tab w:val="num" w:pos="0"/>
        </w:tabs>
        <w:ind w:start="0" w:hanging="0"/>
      </w:pPr>
      <w:rPr/>
    </w:lvl>
    <w:lvl w:ilvl="8">
      <w:start w:val="1"/>
      <w:numFmt w:val="decimal"/>
      <w:lvlText w:val="%1.%2.%3.%4.%5.%6.%7.%8.%9"/>
      <w:lvlJc w:val="start"/>
      <w:pPr>
        <w:tabs>
          <w:tab w:val="num" w:pos="0"/>
        </w:tabs>
        <w:ind w:start="0" w:hanging="0"/>
      </w:pPr>
      <w:rPr/>
    </w:lvl>
  </w:abstractNum>
  <w:abstractNum w:abstractNumId="2">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360"/>
        </w:tabs>
        <w:ind w:start="360" w:hanging="360"/>
      </w:pPr>
      <w:rPr>
        <w:rFonts w:ascii="Webdings" w:hAnsi="Webdings" w:cs="Web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bullet"/>
      <w:lvlText w:val=""/>
      <w:lvlJc w:val="start"/>
      <w:pPr>
        <w:tabs>
          <w:tab w:val="num" w:pos="360"/>
        </w:tabs>
        <w:ind w:start="36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decimal"/>
      <w:lvlText w:val="%1."/>
      <w:lvlJc w:val="start"/>
      <w:pPr>
        <w:tabs>
          <w:tab w:val="num" w:pos="720"/>
        </w:tabs>
        <w:ind w:start="720" w:hanging="720"/>
      </w:pPr>
      <w:rPr/>
    </w:lvl>
    <w:lvl w:ilvl="1">
      <w:start w:val="1"/>
      <w:numFmt w:val="decimal"/>
      <w:lvlText w:val="%2."/>
      <w:lvlJc w:val="start"/>
      <w:pPr>
        <w:tabs>
          <w:tab w:val="num" w:pos="1440"/>
        </w:tabs>
        <w:ind w:start="1440" w:hanging="720"/>
      </w:pPr>
      <w:rPr/>
    </w:lvl>
    <w:lvl w:ilvl="2">
      <w:start w:val="1"/>
      <w:numFmt w:val="decimal"/>
      <w:lvlText w:val="%3."/>
      <w:lvlJc w:val="start"/>
      <w:pPr>
        <w:tabs>
          <w:tab w:val="num" w:pos="2160"/>
        </w:tabs>
        <w:ind w:start="2160" w:hanging="720"/>
      </w:pPr>
      <w:rPr/>
    </w:lvl>
    <w:lvl w:ilvl="3">
      <w:start w:val="1"/>
      <w:numFmt w:val="decimal"/>
      <w:lvlText w:val="%4."/>
      <w:lvlJc w:val="start"/>
      <w:pPr>
        <w:tabs>
          <w:tab w:val="num" w:pos="2880"/>
        </w:tabs>
        <w:ind w:start="2880" w:hanging="720"/>
      </w:pPr>
      <w:rPr/>
    </w:lvl>
    <w:lvl w:ilvl="4">
      <w:start w:val="1"/>
      <w:numFmt w:val="decimal"/>
      <w:lvlText w:val="%5."/>
      <w:lvlJc w:val="start"/>
      <w:pPr>
        <w:tabs>
          <w:tab w:val="num" w:pos="3600"/>
        </w:tabs>
        <w:ind w:start="3600" w:hanging="720"/>
      </w:pPr>
      <w:rPr/>
    </w:lvl>
    <w:lvl w:ilvl="5">
      <w:start w:val="1"/>
      <w:numFmt w:val="decimal"/>
      <w:lvlText w:val="%6."/>
      <w:lvlJc w:val="start"/>
      <w:pPr>
        <w:tabs>
          <w:tab w:val="num" w:pos="4320"/>
        </w:tabs>
        <w:ind w:start="4320" w:hanging="720"/>
      </w:pPr>
      <w:rPr/>
    </w:lvl>
    <w:lvl w:ilvl="6">
      <w:start w:val="1"/>
      <w:numFmt w:val="decimal"/>
      <w:lvlText w:val="%7."/>
      <w:lvlJc w:val="start"/>
      <w:pPr>
        <w:tabs>
          <w:tab w:val="num" w:pos="5040"/>
        </w:tabs>
        <w:ind w:start="5040" w:hanging="720"/>
      </w:pPr>
      <w:rPr/>
    </w:lvl>
    <w:lvl w:ilvl="7">
      <w:start w:val="1"/>
      <w:numFmt w:val="decimal"/>
      <w:lvlText w:val="%8."/>
      <w:lvlJc w:val="start"/>
      <w:pPr>
        <w:tabs>
          <w:tab w:val="num" w:pos="5760"/>
        </w:tabs>
        <w:ind w:start="5760" w:hanging="720"/>
      </w:pPr>
      <w:rPr/>
    </w:lvl>
    <w:lvl w:ilvl="8">
      <w:start w:val="1"/>
      <w:numFmt w:val="decimal"/>
      <w:lvlText w:val="%9."/>
      <w:lvlJc w:val="start"/>
      <w:pPr>
        <w:tabs>
          <w:tab w:val="num" w:pos="6480"/>
        </w:tabs>
        <w:ind w:start="6480" w:hanging="720"/>
      </w:pPr>
      <w:rPr/>
    </w:lvl>
  </w:abstractNum>
  <w:abstractNum w:abstractNumId="11">
    <w:lvl w:ilvl="0">
      <w:numFmt w:val="bullet"/>
      <w:lvlText w:val=""/>
      <w:lvlJc w:val="start"/>
      <w:pPr>
        <w:tabs>
          <w:tab w:val="num" w:pos="283"/>
        </w:tabs>
        <w:ind w:start="283" w:hanging="283"/>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trackRevisions/>
  <w:defaultTabStop w:val="708"/>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GB" w:eastAsia="zh-CN" w:bidi="ar-SA"/>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Times New Roman" w:hAnsi="Times New Roman" w:cs="Times New Roman"/>
    </w:rPr>
  </w:style>
  <w:style w:type="character" w:styleId="WW8Num11z0">
    <w:name w:val="WW8Num11z0"/>
    <w:qFormat/>
    <w:rPr>
      <w:rFonts w:ascii="Webdings" w:hAnsi="Webdings" w:cs="Webdings"/>
    </w:rPr>
  </w:style>
  <w:style w:type="character" w:styleId="WW8Num13z0">
    <w:name w:val="WW8Num13z0"/>
    <w:qFormat/>
    <w:rPr>
      <w:rFonts w:ascii="Symbol" w:hAnsi="Symbol" w:cs="Symbol"/>
      <w:b w:val="false"/>
      <w:i w:val="false"/>
      <w:sz w:val="16"/>
    </w:rPr>
  </w:style>
  <w:style w:type="character" w:styleId="WW8Num14z0">
    <w:name w:val="WW8Num14z0"/>
    <w:qFormat/>
    <w:rPr>
      <w:rFonts w:ascii="Symbol" w:hAnsi="Symbol" w:cs="Symbol"/>
    </w:rPr>
  </w:style>
  <w:style w:type="character" w:styleId="WW8Num16z0">
    <w:name w:val="WW8Num16z0"/>
    <w:qFormat/>
    <w:rPr>
      <w:rFonts w:ascii="Symbol" w:hAnsi="Symbol" w:cs="Symbol"/>
    </w:rPr>
  </w:style>
  <w:style w:type="character" w:styleId="WW8Num17z0">
    <w:name w:val="WW8Num17z0"/>
    <w:qFormat/>
    <w:rPr>
      <w:rFonts w:ascii="Times New Roman" w:hAnsi="Times New Roman" w:cs="Times New Roman"/>
    </w:rPr>
  </w:style>
  <w:style w:type="character" w:styleId="WW8Num18z0">
    <w:name w:val="WW8Num18z0"/>
    <w:qFormat/>
    <w:rPr>
      <w:rFonts w:ascii="Symbol" w:hAnsi="Symbol" w:cs="Symbol"/>
      <w:sz w:val="16"/>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Symbol" w:hAnsi="Symbol" w:cs="Symbol"/>
      <w:color w:val="000000"/>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Arial" w:hAnsi="Arial" w:eastAsia="Times New Roman" w:cs="Arial"/>
    </w:rPr>
  </w:style>
  <w:style w:type="character" w:styleId="WW8Num24z0">
    <w:name w:val="WW8Num24z0"/>
    <w:qFormat/>
    <w:rPr>
      <w:rFonts w:ascii="Times New Roman" w:hAnsi="Times New Roman"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16"/>
    </w:rPr>
  </w:style>
  <w:style w:type="character" w:styleId="WW8Num31z0">
    <w:name w:val="WW8Num31z0"/>
    <w:qFormat/>
    <w:rPr>
      <w:rFonts w:ascii="Symbol" w:hAnsi="Symbol" w:cs="Symbol"/>
      <w:color w:val="000000"/>
    </w:rPr>
  </w:style>
  <w:style w:type="character" w:styleId="WW8Num32z0">
    <w:name w:val="WW8Num32z0"/>
    <w:qFormat/>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0"/>
      </w:numPr>
      <w:spacing w:before="142" w:after="0"/>
      <w:ind w:hanging="283" w:start="567" w:end="0"/>
      <w:jc w:val="both"/>
    </w:pPr>
    <w:rPr>
      <w:sz w:val="24"/>
    </w:rPr>
  </w:style>
  <w:style w:type="paragraph" w:styleId="Listea">
    <w:name w:val="Liste a"/>
    <w:basedOn w:val="Liste1"/>
    <w:qFormat/>
    <w:p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9"/>
      </w:numPr>
      <w:spacing w:before="142" w:after="0"/>
      <w:jc w:val="both"/>
    </w:pPr>
    <w:rPr>
      <w:sz w:val="24"/>
    </w:rPr>
  </w:style>
  <w:style w:type="paragraph" w:styleId="Pflche">
    <w:name w:val="P. flèche"/>
    <w:basedOn w:val="Puce"/>
    <w:qFormat/>
    <w:pPr>
      <w:numPr>
        <w:ilvl w:val="0"/>
        <w:numId w:val="7"/>
      </w:numPr>
    </w:pPr>
    <w:rPr/>
  </w:style>
  <w:style w:type="paragraph" w:styleId="Plosange">
    <w:name w:val="P. losange"/>
    <w:basedOn w:val="Puce"/>
    <w:qFormat/>
    <w:pPr>
      <w:numPr>
        <w:ilvl w:val="0"/>
        <w:numId w:val="4"/>
      </w:numPr>
    </w:pPr>
    <w:rPr/>
  </w:style>
  <w:style w:type="paragraph" w:styleId="Pmarque">
    <w:name w:val="P. marque"/>
    <w:basedOn w:val="Puce"/>
    <w:qFormat/>
    <w:pPr>
      <w:numPr>
        <w:ilvl w:val="0"/>
        <w:numId w:val="6"/>
      </w:numPr>
    </w:pPr>
    <w:rPr/>
  </w:style>
  <w:style w:type="paragraph" w:styleId="Ppoint">
    <w:name w:val="P. point"/>
    <w:basedOn w:val="Puce"/>
    <w:qFormat/>
    <w:pPr>
      <w:numPr>
        <w:ilvl w:val="0"/>
        <w:numId w:val="5"/>
      </w:numPr>
    </w:pPr>
    <w:rPr/>
  </w:style>
  <w:style w:type="paragraph" w:styleId="Ptiret">
    <w:name w:val="P. tiret"/>
    <w:basedOn w:val="Ppoint"/>
    <w:qFormat/>
    <w:pPr>
      <w:numPr>
        <w:ilvl w:val="0"/>
        <w:numId w:val="8"/>
      </w:numPr>
    </w:pPr>
    <w:rPr/>
  </w:style>
  <w:style w:type="paragraph" w:styleId="Ptriangle">
    <w:name w:val="P. triangle"/>
    <w:basedOn w:val="Puce"/>
    <w:qFormat/>
    <w:pPr>
      <w:numPr>
        <w:ilvl w:val="0"/>
        <w:numId w:val="3"/>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0"/>
      </w:numPr>
      <w:spacing w:before="0" w:after="141"/>
      <w:ind w:hanging="0" w:start="0" w:end="0"/>
      <w:jc w:val="both"/>
    </w:pPr>
    <w:rPr>
      <w:rFonts w:ascii="Arial MT" w:hAnsi="Arial MT" w:cs="Arial MT"/>
      <w:lang w:val="en-GB"/>
    </w:rPr>
  </w:style>
  <w:style w:type="paragraph" w:styleId="Textepardfaut">
    <w:name w:val="Texte par défaut"/>
    <w:basedOn w:val="Normal"/>
    <w:qFormat/>
    <w:pPr/>
    <w:rPr>
      <w:sz w:val="24"/>
      <w:lang w:val="en-GB"/>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0"/>
      </w:numPr>
      <w:spacing w:before="0" w:after="141"/>
      <w:ind w:hanging="0" w:start="0" w:end="0"/>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numPr>
        <w:ilvl w:val="0"/>
        <w:numId w:val="10"/>
      </w:numPr>
      <w:suppressAutoHyphens w:val="true"/>
      <w:bidi w:val="0"/>
      <w:spacing w:before="120" w:after="60"/>
      <w:ind w:hanging="340" w:start="340" w:end="0"/>
      <w:jc w:val="center"/>
    </w:pPr>
    <w:rPr>
      <w:rFonts w:ascii="GillSans;Calibri" w:hAnsi="GillSans;Calibri" w:eastAsia="Times New Roman" w:cs="GillSans;Calibri"/>
      <w:b/>
      <w:color w:val="auto"/>
      <w:kern w:val="0"/>
      <w:sz w:val="22"/>
      <w:szCs w:val="20"/>
      <w:lang w:val="en-GB" w:eastAsia="zh-CN" w:bidi="ar-SA"/>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n-GB"/>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spacing w:before="0" w:after="0"/>
      <w:jc w:val="start"/>
    </w:pPr>
    <w:rPr>
      <w:rFonts w:ascii="Courier" w:hAnsi="Courier" w:eastAsia="Times New Roman" w:cs="Courier"/>
      <w:color w:val="auto"/>
      <w:kern w:val="0"/>
      <w:sz w:val="24"/>
      <w:szCs w:val="20"/>
      <w:lang w:val="en-GB" w:eastAsia="zh-CN" w:bidi="ar-SA"/>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suppressAutoHyphens w:val="true"/>
      <w:bidi w:val="0"/>
      <w:spacing w:before="0" w:after="0"/>
      <w:jc w:val="start"/>
    </w:pPr>
    <w:rPr>
      <w:rFonts w:ascii="Arial" w:hAnsi="Arial" w:eastAsia="Times New Roman" w:cs="Arial"/>
      <w:color w:val="000000"/>
      <w:kern w:val="0"/>
      <w:sz w:val="24"/>
      <w:szCs w:val="24"/>
      <w:lang w:val="en-GB" w:eastAsia="zh-CN" w:bidi="ar-SA"/>
    </w:rPr>
  </w:style>
  <w:style w:type="paragraph" w:styleId="ListParagraph">
    <w:name w:val="List Paragraph"/>
    <w:basedOn w:val="Normal"/>
    <w:qFormat/>
    <w:pPr>
      <w:ind w:hanging="0" w:start="708" w:end="0"/>
    </w:pPr>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GB" w:eastAsia="zh-CN" w:bidi="ar-SA"/>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2</Pages>
  <Words>728</Words>
  <Characters>3927</Characters>
  <CharactersWithSpaces>4631</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dc:language>en-US</dc:language>
  <cp:lastModifiedBy/>
  <cp:lastPrinted>2026-09-25T11:09:00Z</cp:lastPrinted>
  <dcterms:modified xsi:type="dcterms:W3CDTF">2026-09-28T07:36:54Z</dcterms:modified>
  <cp:revision>14</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