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Corbel" w:hAnsi="Corbel" w:cs="Arial"/>
          <w:b/>
          <w:caps/>
          <w:sz w:val="22"/>
          <w:szCs w:val="22"/>
        </w:rPr>
      </w:pPr>
      <w:r>
        <w:rPr>
          <w:rFonts w:cs="Corbel" w:ascii="Corbel" w:hAnsi="Corbel"/>
          <w:b/>
          <w:caps/>
          <w:sz w:val="22"/>
        </w:rPr>
        <w:t>H2O INVEST</w:t>
      </w:r>
    </w:p>
    <w:p>
      <w:pPr>
        <w:pStyle w:val="Normal"/>
        <w:jc w:val="center"/>
        <w:rPr>
          <w:rFonts w:ascii="Corbel" w:hAnsi="Corbel" w:cs="Arial"/>
        </w:rPr>
      </w:pPr>
      <w:r>
        <w:rPr>
          <w:rFonts w:cs="Corbel" w:ascii="Corbel" w:hAnsi="Corbel"/>
        </w:rPr>
        <w:t>Sociedad de inversión de capital variable bajo la forma de SAS de derecho francés</w:t>
        <w:br/>
        <w:t>con un capital social inicial de 9 163 641,46 euros</w:t>
        <w:br/>
        <w:t>Domicilio social: 39 avenue Pierre 1</w:t>
      </w:r>
      <w:r>
        <w:rPr>
          <w:rFonts w:cs="Corbel" w:ascii="Corbel" w:hAnsi="Corbel"/>
          <w:vertAlign w:val="superscript"/>
        </w:rPr>
        <w:t>er</w:t>
      </w:r>
      <w:r>
        <w:rPr>
          <w:rFonts w:cs="Corbel" w:ascii="Corbel" w:hAnsi="Corbel"/>
        </w:rPr>
        <w:t xml:space="preserve"> de Serbie – 75008 Paris</w:t>
        <w:br/>
        <w:t>Inscrita en el Registro Mercantil de París con el</w:t>
      </w:r>
      <w:r>
        <w:rPr>
          <w:rFonts w:cs="Corbel" w:ascii="Corbel" w:hAnsi="Corbel"/>
          <w:color w:val="000000"/>
        </w:rPr>
        <w:t xml:space="preserve"> </w:t>
      </w:r>
      <w:r>
        <w:rPr>
          <w:rFonts w:cs="Corbel" w:ascii="Corbel" w:hAnsi="Corbel"/>
        </w:rPr>
        <w:t>n.º 532 900 081</w:t>
      </w:r>
    </w:p>
    <w:p>
      <w:pPr>
        <w:pStyle w:val="BodyText"/>
        <w:rPr>
          <w:rFonts w:ascii="Corbel" w:hAnsi="Corbel" w:cs="Corbel"/>
        </w:rPr>
      </w:pPr>
      <w:r>
        <w:rPr>
          <w:rFonts w:cs="Corbel" w:ascii="Corbel" w:hAnsi="Corbel"/>
        </w:rPr>
      </w:r>
    </w:p>
    <w:p>
      <w:pPr>
        <w:pStyle w:val="BodyText"/>
        <w:keepNext/>
        <w:keepLines/>
        <w:spacing w:before="0" w:after="0"/>
        <w:jc w:val="center"/>
        <w:rPr>
          <w:rFonts w:ascii="Corbel" w:hAnsi="Corbel" w:cs="Arial"/>
          <w:b/>
          <w:u w:val="single"/>
        </w:rPr>
      </w:pPr>
      <w:r>
        <w:rPr>
          <w:rFonts w:cs="Corbel" w:ascii="Corbel" w:hAnsi="Corbel"/>
          <w:b/>
          <w:u w:val="single"/>
        </w:rPr>
        <w:t>AVISO DE CONVOCATORIA</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Corbel"/>
          <w:b/>
          <w:u w:val="single"/>
        </w:rPr>
      </w:pPr>
      <w:r>
        <w:rPr>
          <w:rFonts w:cs="Corbel" w:ascii="Corbel" w:hAnsi="Corbel"/>
          <w:b/>
          <w:u w:val="single"/>
        </w:rPr>
      </w:r>
    </w:p>
    <w:p>
      <w:pPr>
        <w:pStyle w:val="Normal"/>
        <w:ind w:end="-143"/>
        <w:jc w:val="both"/>
        <w:rPr>
          <w:rFonts w:ascii="Corbel" w:hAnsi="Corbel" w:cs="Arial"/>
          <w:spacing w:val="-2"/>
        </w:rPr>
      </w:pPr>
      <w:r>
        <w:rPr>
          <w:rFonts w:cs="Corbel" w:ascii="Corbel" w:hAnsi="Corbel"/>
        </w:rPr>
        <w:t xml:space="preserve">Se convoca a los accionistas de la sociedad a una junta general ordinaria anual el 30 de octubre de 2026 </w:t>
      </w:r>
    </w:p>
    <w:p>
      <w:pPr>
        <w:pStyle w:val="Normal"/>
        <w:keepNext/>
        <w:keepLines/>
        <w:ind w:end="-143"/>
        <w:jc w:val="both"/>
        <w:rPr>
          <w:rFonts w:ascii="Corbel" w:hAnsi="Corbel" w:cs="Arial"/>
        </w:rPr>
      </w:pPr>
      <w:r>
        <w:rPr>
          <w:rFonts w:cs="Corbel" w:ascii="Corbel" w:hAnsi="Corbel"/>
        </w:rPr>
        <w:t>a las 10:00 horas para deliberar sobre el orden del día especificado a continuación:</w:t>
      </w:r>
    </w:p>
    <w:p>
      <w:pPr>
        <w:pStyle w:val="Normal"/>
        <w:keepNext/>
        <w:ind w:end="-46"/>
        <w:jc w:val="both"/>
        <w:rPr>
          <w:rFonts w:ascii="Corbel" w:hAnsi="Corbel" w:cs="Arial"/>
        </w:rPr>
      </w:pPr>
      <w:r>
        <w:rPr>
          <w:rFonts w:cs="Arial" w:ascii="Corbel" w:hAnsi="Corbel"/>
        </w:rPr>
      </w:r>
    </w:p>
    <w:p>
      <w:pPr>
        <w:pStyle w:val="Normal"/>
        <w:keepNext/>
        <w:keepLines/>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Corbel" w:hAnsi="Corbel" w:cs="Arial"/>
          <w:b/>
          <w:bCs/>
          <w:iCs/>
          <w:u w:val="single"/>
        </w:rPr>
      </w:pPr>
      <w:r>
        <w:rPr>
          <w:rFonts w:cs="Corbel" w:ascii="Corbel" w:hAnsi="Corbel"/>
          <w:b/>
          <w:u w:val="single"/>
        </w:rPr>
        <w:t>ORDEN DEL DÍA</w:t>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b/>
          <w:bCs/>
          <w:iCs/>
          <w:spacing w:val="-3"/>
          <w:u w:val="single"/>
        </w:rPr>
      </w:pPr>
      <w:r>
        <w:rPr>
          <w:rFonts w:cs="Arial" w:ascii="Corbel" w:hAnsi="Corbel"/>
          <w:b/>
          <w:bCs/>
          <w:iCs/>
          <w:spacing w:val="-3"/>
          <w:u w:val="single"/>
        </w:rPr>
      </w:r>
    </w:p>
    <w:p>
      <w:pPr>
        <w:pStyle w:val="Normal"/>
        <w:keepNext/>
        <w:tabs>
          <w:tab w:val="left" w:pos="0" w:leader="none"/>
          <w:tab w:val="left" w:pos="504" w:leader="none"/>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both"/>
        <w:rPr>
          <w:rFonts w:ascii="Corbel" w:hAnsi="Corbel" w:cs="Arial"/>
          <w:spacing w:val="-3"/>
        </w:rPr>
      </w:pPr>
      <w:r>
        <w:rPr>
          <w:rFonts w:cs="Arial" w:ascii="Corbel" w:hAnsi="Corbel"/>
          <w:spacing w:val="-3"/>
        </w:rPr>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Lectura de los informes del presidente y del auditor externo sobre las cuentas del ejercicio cerrado el 30 de junio de 2026.</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 xml:space="preserve">Lectura del informe especial del auditor externo sobre las convenciones contempladas en el artículo L. 227</w:t>
        <w:noBreakHyphen/>
        <w:t xml:space="preserve">10 del Código de Comercio francés.</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Examen y aprobación de las cuentas anuales, descargo del presidente.</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Asignación de los importes distribuibles.</w:t>
      </w:r>
    </w:p>
    <w:p>
      <w:pPr>
        <w:pStyle w:val="Normal"/>
        <w:numPr>
          <w:ilvl w:val="0"/>
          <w:numId w:val="11"/>
        </w:numPr>
        <w:tabs>
          <w:tab w:val="clear" w:pos="708"/>
          <w:tab w:val="left" w:pos="0" w:leader="none"/>
          <w:tab w:val="left" w:pos="317" w:leader="none"/>
          <w:tab w:val="left" w:pos="1392" w:leader="none"/>
          <w:tab w:val="left" w:pos="1678" w:leader="none"/>
          <w:tab w:val="left" w:pos="2160" w:leader="none"/>
        </w:tabs>
        <w:suppressAutoHyphens w:val="true"/>
        <w:spacing w:lineRule="atLeast" w:line="240"/>
        <w:ind w:hanging="284" w:start="284" w:end="0"/>
        <w:jc w:val="both"/>
        <w:rPr>
          <w:rFonts w:ascii="Corbel" w:hAnsi="Corbel" w:cs="Arial"/>
          <w:spacing w:val="-2"/>
        </w:rPr>
      </w:pPr>
      <w:r>
        <w:rPr>
          <w:rFonts w:cs="Corbel" w:ascii="Corbel" w:hAnsi="Corbel"/>
        </w:rPr>
        <w:t>Poderes para el cumplimiento de las formalidades</w:t>
      </w:r>
    </w:p>
    <w:p>
      <w:pPr>
        <w:pStyle w:val="Normal"/>
        <w:tabs>
          <w:tab w:val="clear" w:pos="708"/>
          <w:tab w:val="left" w:pos="8640" w:leader="none"/>
          <w:tab w:val="right" w:pos="9072" w:leader="dot"/>
        </w:tabs>
        <w:jc w:val="both"/>
        <w:rPr>
          <w:rFonts w:ascii="Corbel" w:hAnsi="Corbel" w:cs="Arial"/>
          <w:spacing w:val="-2"/>
          <w:highlight w:val="yellow"/>
        </w:rPr>
      </w:pPr>
      <w:r>
        <w:rPr>
          <w:rFonts w:cs="Arial" w:ascii="Corbel" w:hAnsi="Corbel"/>
          <w:spacing w:val="-2"/>
          <w:highlight w:val="yellow"/>
        </w:rPr>
      </w:r>
    </w:p>
    <w:p>
      <w:pPr>
        <w:pStyle w:val="Normal"/>
        <w:tabs>
          <w:tab w:val="clear" w:pos="708"/>
          <w:tab w:val="left" w:pos="0" w:leader="none"/>
          <w:tab w:val="left" w:pos="317" w:leader="none"/>
          <w:tab w:val="left" w:pos="1392" w:leader="none"/>
          <w:tab w:val="left" w:pos="1678" w:leader="none"/>
          <w:tab w:val="left" w:pos="2160" w:leader="none"/>
        </w:tabs>
        <w:suppressAutoHyphens w:val="true"/>
        <w:spacing w:lineRule="atLeast" w:line="240"/>
        <w:jc w:val="both"/>
        <w:rPr>
          <w:rFonts w:ascii="Corbel" w:hAnsi="Corbel" w:cs="Arial"/>
          <w:color w:val="FF0000"/>
          <w:spacing w:val="-2"/>
          <w:highlight w:val="yellow"/>
          <w:lang w:eastAsia="en-US"/>
        </w:rPr>
      </w:pPr>
      <w:r>
        <w:rPr>
          <w:rFonts w:cs="Arial" w:ascii="Corbel" w:hAnsi="Corbel"/>
          <w:color w:val="FF0000"/>
          <w:spacing w:val="-2"/>
          <w:highlight w:val="yellow"/>
          <w:lang w:eastAsia="en-US"/>
        </w:rPr>
      </w:r>
    </w:p>
    <w:p>
      <w:pPr>
        <w:pStyle w:val="Normal"/>
        <w:tabs>
          <w:tab w:val="left" w:pos="0" w:leader="none"/>
          <w:tab w:val="left" w:pos="708" w:leader="none"/>
          <w:tab w:val="left" w:pos="1440" w:leader="none"/>
          <w:tab w:val="left" w:pos="2124" w:leader="none"/>
          <w:tab w:val="left" w:pos="2832" w:leader="none"/>
          <w:tab w:val="left" w:pos="3540" w:leader="none"/>
          <w:tab w:val="left" w:pos="4248" w:leader="none"/>
          <w:tab w:val="left" w:pos="4956" w:leader="none"/>
          <w:tab w:val="left" w:pos="5664" w:leader="none"/>
          <w:tab w:val="left" w:pos="6372" w:leader="none"/>
          <w:tab w:val="left" w:pos="7080" w:leader="none"/>
          <w:tab w:val="left" w:pos="7788" w:leader="none"/>
          <w:tab w:val="left" w:pos="8496" w:leader="none"/>
        </w:tabs>
        <w:suppressAutoHyphens w:val="true"/>
        <w:spacing w:lineRule="exact" w:line="240"/>
        <w:jc w:val="center"/>
        <w:rPr>
          <w:rFonts w:ascii="Arial" w:hAnsi="Arial" w:cs="Arial"/>
          <w:b/>
          <w:spacing w:val="-2"/>
        </w:rPr>
      </w:pPr>
      <w:r>
        <w:rPr>
          <w:rFonts w:cs="Arial" w:ascii="Arial" w:hAnsi="Arial"/>
          <w:b/>
        </w:rPr>
        <w:t>_____________________________________</w:t>
      </w:r>
    </w:p>
    <w:p>
      <w:pPr>
        <w:pStyle w:val="Normal"/>
        <w:ind w:end="-46"/>
        <w:jc w:val="both"/>
        <w:rPr>
          <w:rFonts w:ascii="Arial" w:hAnsi="Arial" w:cs="Arial"/>
          <w:b/>
          <w:spacing w:val="-2"/>
        </w:rPr>
      </w:pPr>
      <w:r>
        <w:rPr>
          <w:rFonts w:cs="Arial" w:ascii="Arial" w:hAnsi="Arial"/>
          <w:b/>
          <w:spacing w:val="-2"/>
        </w:rPr>
      </w:r>
    </w:p>
    <w:p>
      <w:pPr>
        <w:pStyle w:val="Normal"/>
        <w:ind w:end="-46"/>
        <w:jc w:val="both"/>
        <w:rPr>
          <w:rFonts w:ascii="Corbel" w:hAnsi="Corbel" w:cs="Arial"/>
          <w:sz w:val="22"/>
          <w:szCs w:val="22"/>
        </w:rPr>
      </w:pPr>
      <w:r>
        <w:rPr>
          <w:rFonts w:cs="Corbel" w:ascii="Corbel" w:hAnsi="Corbel"/>
          <w:sz w:val="22"/>
        </w:rPr>
        <w:t xml:space="preserve">Los accionistas podrán participar en esta junta independientemente del número de acciones que posean, sin perjuicio de las cláusulas legales en contrario.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El derecho a participar en las juntas generales de sociedades queda justificado por el registro en cuenta de los valores a nombre del accionista o del intermediario registrado en su nombre, de conformidad con el artículo L. 228</w:t>
        <w:noBreakHyphen/>
        <w:t xml:space="preserve">1 del Código de Comercio francés, el quinto día laborable anterior a la junta, a las 00:00 horas (hora de París), ya sea en las cuentas de valores nominativos de la sociedad o en las cuentas de valores al portador mantenidas por el intermediario autorizado.</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La inclusión en cuenta de los valores que figuran en las cuentas de valores al portador mantenidas por el intermediario autorizado deberá registrarse mediante un certificado de participación emitido por este último, por medios electrónicos, si se cumplen las condiciones previstas en el artículo R. 225</w:t>
        <w:noBreakHyphen/>
        <w:t xml:space="preserve">61 del Código de Comercio francés, y debe adjuntarse al formulario de voto a distancia o mediante representación, o a la solicitud de una tarjeta de admisión emitida a nombre del accionista o en nombre del accionista representado a través del intermediario registrado. </w:t>
      </w:r>
    </w:p>
    <w:p>
      <w:pPr>
        <w:pStyle w:val="Normal"/>
        <w:ind w:end="-46"/>
        <w:jc w:val="both"/>
        <w:rPr>
          <w:rFonts w:ascii="Corbel" w:hAnsi="Corbel" w:cs="Arial"/>
          <w:sz w:val="22"/>
          <w:szCs w:val="22"/>
        </w:rPr>
      </w:pPr>
      <w:r>
        <w:rPr>
          <w:rFonts w:cs="Arial" w:ascii="Corbel" w:hAnsi="Corbel"/>
          <w:sz w:val="22"/>
          <w:szCs w:val="22"/>
        </w:rPr>
      </w:r>
    </w:p>
    <w:p>
      <w:pPr>
        <w:pStyle w:val="Normal"/>
        <w:keepNext/>
        <w:keepLines/>
        <w:ind w:end="-46"/>
        <w:jc w:val="both"/>
        <w:rPr>
          <w:rFonts w:ascii="Corbel" w:hAnsi="Corbel" w:cs="Arial"/>
          <w:sz w:val="22"/>
          <w:szCs w:val="22"/>
        </w:rPr>
      </w:pPr>
      <w:r>
        <w:rPr>
          <w:rFonts w:cs="Corbel" w:ascii="Corbel" w:hAnsi="Corbel"/>
          <w:sz w:val="22"/>
        </w:rPr>
        <w:t>En caso de no poder asistir personalmente a esta junta, los accionistas podrán escoger entre una de las tres opciones especificadas a continuación:</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enviar un poder a la sociedad sin indicar el mandatario;</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delegar su voto en otro accionista, en su cónyuge o en la persona con la que haya celebrado un pacto civil de solidaridad;</w:t>
      </w:r>
    </w:p>
    <w:p>
      <w:pPr>
        <w:pStyle w:val="ListParagraph"/>
        <w:numPr>
          <w:ilvl w:val="0"/>
          <w:numId w:val="2"/>
        </w:numPr>
        <w:ind w:hanging="360" w:start="720" w:end="-46"/>
        <w:jc w:val="both"/>
        <w:rPr>
          <w:rFonts w:ascii="Corbel" w:hAnsi="Corbel" w:cs="Arial"/>
          <w:sz w:val="22"/>
          <w:szCs w:val="22"/>
        </w:rPr>
      </w:pPr>
      <w:r>
        <w:rPr>
          <w:rFonts w:cs="Corbel" w:ascii="Corbel" w:hAnsi="Corbel"/>
          <w:sz w:val="22"/>
        </w:rPr>
        <w:t>votar por correo.</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Un accionista que ya haya votado a distancia, apoderado a alguien o solicitado su tarjeta de admisión o un certificado de participación podrá transferir en cualquier momento la totalidad o parte de sus acciones. Sin embargo, si la transferencia de propiedad se produce antes del quinto día hábil anterior a la junta, a las 00:00 horas (hora de París), la sociedad invalida o modifica en consecuencia, según sea el caso, el voto a distancia, el apoderamiento, la tarjeta de admisión o el certificado de participación. Con este fin, el intermediario autorizado de la cuenta notificará la transferencia de propiedad a la sociedad o a su agente y le transmitirá la información necesaria.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Los formularios de delegación y voto por correo se envían automáticamente por correo postal a los accionistas registrados en una cuenta de valores nominativos o administrada. </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 xml:space="preserve">De conformidad con la ley, todos los documentos que deban presentarse en esta junta general estarán a disposición de los accionistas, en el plazo legal, en el domicilio social de </w:t>
      </w:r>
      <w:r>
        <w:rPr>
          <w:rFonts w:cs="Corbel" w:ascii="Corbel" w:hAnsi="Corbel"/>
          <w:b/>
          <w:sz w:val="22"/>
        </w:rPr>
        <w:t>H2O INVEST</w:t>
      </w:r>
      <w:r>
        <w:rPr>
          <w:rFonts w:cs="Corbel" w:ascii="Corbel" w:hAnsi="Corbel"/>
          <w:sz w:val="22"/>
        </w:rPr>
        <w:t>, o se transmitirán, previa solicitud, a Uptevia.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b/>
          <w:bCs/>
          <w:sz w:val="22"/>
          <w:szCs w:val="22"/>
        </w:rPr>
      </w:pPr>
      <w:r>
        <w:rPr>
          <w:rFonts w:cs="Corbel" w:ascii="Corbel" w:hAnsi="Corbel"/>
          <w:sz w:val="22"/>
        </w:rPr>
        <w:t xml:space="preserve">En lo que respecta a los titulares de acciones al portador, los formularios de delegación y voto por correo se les enviarán previa solicitud, recibida por carta certificada con acuse de recibo por </w:t>
      </w:r>
      <w:r>
        <w:rPr>
          <w:rFonts w:cs="Corbel" w:ascii="Corbel" w:hAnsi="Corbel"/>
          <w:b/>
          <w:sz w:val="22"/>
        </w:rPr>
        <w:t>Uptevia Service Assemblées Générales, 90 – 110 Esplanade du Général de Gaulle – 92931 Paris La Défense Cedex</w:t>
      </w:r>
      <w:r>
        <w:rPr>
          <w:rFonts w:cs="Corbel" w:ascii="Corbel" w:hAnsi="Corbel"/>
          <w:sz w:val="22"/>
        </w:rPr>
        <w:t>, como muy tarde cinco días antes de la fecha de la junta así como en su entidad comercializadora habitual.</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b/>
          <w:bCs/>
          <w:sz w:val="22"/>
          <w:szCs w:val="22"/>
        </w:rPr>
      </w:pPr>
      <w:r>
        <w:rPr>
          <w:rFonts w:cs="Corbel" w:ascii="Corbel" w:hAnsi="Corbel"/>
          <w:sz w:val="22"/>
        </w:rPr>
        <w:t xml:space="preserve">Para que se contabilice, el formulario de voto por correo debe recibirse cumplimentado y firmado en </w:t>
      </w:r>
      <w:r>
        <w:rPr>
          <w:rFonts w:cs="Corbel" w:ascii="Corbel" w:hAnsi="Corbel"/>
          <w:b/>
          <w:sz w:val="22"/>
        </w:rPr>
        <w:t>Uptevia Service Assemblées Générales, 90 – 110 Esplanade du Général de Gaulle – 92931 Paris La Défense Cedex</w:t>
      </w:r>
      <w:r>
        <w:rPr>
          <w:rFonts w:cs="Corbel" w:ascii="Corbel" w:hAnsi="Corbel"/>
          <w:sz w:val="22"/>
        </w:rPr>
        <w:t>, como muy tarde dos días antes de la junta .</w:t>
      </w:r>
    </w:p>
    <w:p>
      <w:pPr>
        <w:pStyle w:val="Normal"/>
        <w:ind w:end="-46"/>
        <w:jc w:val="both"/>
        <w:rPr>
          <w:rFonts w:ascii="Corbel" w:hAnsi="Corbel" w:cs="Arial"/>
          <w:b/>
          <w:bCs/>
          <w:sz w:val="22"/>
          <w:szCs w:val="22"/>
        </w:rPr>
      </w:pPr>
      <w:r>
        <w:rPr>
          <w:rFonts w:cs="Arial" w:ascii="Corbel" w:hAnsi="Corbel"/>
          <w:b/>
          <w:bCs/>
          <w:sz w:val="22"/>
          <w:szCs w:val="22"/>
        </w:rPr>
      </w:r>
    </w:p>
    <w:p>
      <w:pPr>
        <w:pStyle w:val="Normal"/>
        <w:ind w:end="-46"/>
        <w:jc w:val="both"/>
        <w:rPr>
          <w:rFonts w:ascii="Corbel" w:hAnsi="Corbel" w:cs="Arial"/>
          <w:sz w:val="22"/>
          <w:szCs w:val="22"/>
        </w:rPr>
      </w:pPr>
      <w:r>
        <w:rPr>
          <w:rFonts w:cs="Corbel" w:ascii="Corbel" w:hAnsi="Corbel"/>
          <w:sz w:val="22"/>
        </w:rPr>
        <w:t>Cuando el accionista ya haya votado a distancia, apoderado a alguien o solicitado su tarjeta de admisión o un certificado de participación, ya no podrá elegir otro método de participación en la junta, a menos que se disponga lo contrario en los estatutos.</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Corbel" w:ascii="Corbel" w:hAnsi="Corbel"/>
          <w:sz w:val="22"/>
        </w:rPr>
        <w:t>Los accionistas podrán formular preguntas por escrito a la sociedad a partir de esta publicación. Estas preguntas deberán dirigirse al domicilio social de la sociedad mediante carta certificada con acuse de recibo, como muy tarde el cuarto día laborable anterior a la fecha de la junta general. Deberán ir acompañadas de un certificado de registro en cuenta.</w:t>
      </w:r>
    </w:p>
    <w:p>
      <w:pPr>
        <w:pStyle w:val="Normal"/>
        <w:ind w:end="-46"/>
        <w:jc w:val="both"/>
        <w:rPr>
          <w:rFonts w:ascii="Corbel" w:hAnsi="Corbel" w:cs="Arial"/>
          <w:sz w:val="22"/>
          <w:szCs w:val="22"/>
        </w:rPr>
      </w:pPr>
      <w:r>
        <w:rPr>
          <w:rFonts w:cs="Arial" w:ascii="Corbel" w:hAnsi="Corbel"/>
          <w:sz w:val="22"/>
          <w:szCs w:val="22"/>
        </w:rPr>
      </w:r>
    </w:p>
    <w:p>
      <w:pPr>
        <w:pStyle w:val="Normal"/>
        <w:ind w:end="-46"/>
        <w:jc w:val="both"/>
        <w:rPr>
          <w:rFonts w:ascii="Corbel" w:hAnsi="Corbel" w:cs="Arial"/>
          <w:sz w:val="22"/>
          <w:szCs w:val="22"/>
        </w:rPr>
      </w:pPr>
      <w:r>
        <w:rPr>
          <w:rFonts w:cs="Arial" w:ascii="Corbel" w:hAnsi="Corbel"/>
          <w:sz w:val="22"/>
          <w:szCs w:val="22"/>
        </w:rPr>
        <w:t>El folleto actualizado, los documentos de datos fundamentales, los estatutos y los informes periódicos más recientes pueden obtenerse, sin cargo alguno, en el domicilio social de la SICAV, así como en su entidad comercializadora habitual.</w:t>
      </w:r>
    </w:p>
    <w:p>
      <w:pPr>
        <w:pStyle w:val="Normal"/>
        <w:ind w:end="-46"/>
        <w:jc w:val="both"/>
        <w:rPr>
          <w:rFonts w:ascii="Corbel" w:hAnsi="Corbel" w:cs="Arial"/>
          <w:sz w:val="22"/>
          <w:szCs w:val="22"/>
        </w:rPr>
      </w:pPr>
      <w:r>
        <w:rPr>
          <w:rFonts w:cs="Arial" w:ascii="Corbel" w:hAnsi="Corbel"/>
          <w:sz w:val="22"/>
          <w:szCs w:val="22"/>
        </w:rPr>
      </w:r>
    </w:p>
    <w:p>
      <w:pPr>
        <w:pStyle w:val="Normal"/>
        <w:ind w:end="-46"/>
        <w:jc w:val="end"/>
        <w:rPr>
          <w:rFonts w:ascii="Corbel" w:hAnsi="Corbel" w:cs="Corbel"/>
          <w:sz w:val="22"/>
          <w:szCs w:val="22"/>
        </w:rPr>
      </w:pPr>
      <w:r>
        <w:rPr>
          <w:rFonts w:cs="Corbel" w:ascii="Corbel" w:hAnsi="Corbel"/>
          <w:sz w:val="22"/>
        </w:rPr>
        <w:t>El presidente</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7" w:right="1417" w:gutter="0" w:header="426" w:top="851" w:footer="720" w:bottom="113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Times New Roman">
    <w:altName w:val="Times New Roman"/>
    <w:charset w:val="01" w:characterSet="utf-8"/>
    <w:family w:val="roman"/>
    <w:pitch w:val="variable"/>
  </w:font>
  <w:font w:name="Times New Roman">
    <w:charset w:val="01" w:characterSet="utf-8"/>
    <w:family w:val="roman"/>
    <w:pitch w:val="variable"/>
  </w:font>
  <w:font w:name="Times New Roman Gras">
    <w:altName w:val="Times New Roman"/>
    <w:charset w:val="01" w:characterSet="utf-8"/>
    <w:family w:val="roman"/>
    <w:pitch w:val="variable"/>
  </w:font>
  <w:font w:name="Arial">
    <w:charset w:val="01" w:characterSet="utf-8"/>
    <w:family w:val="roman"/>
    <w:pitch w:val="variable"/>
  </w:font>
  <w:font w:name="Symbol">
    <w:charset w:val="01" w:characterSet="utf-8"/>
    <w:family w:val="roman"/>
    <w:pitch w:val="variable"/>
  </w:font>
  <w:font w:name="Courier New">
    <w:charset w:val="01" w:characterSet="utf-8"/>
    <w:family w:val="roman"/>
    <w:pitch w:val="variable"/>
  </w:font>
  <w:font w:name="Wingdings">
    <w:charset w:val="01" w:characterSet="utf-8"/>
    <w:family w:val="roman"/>
    <w:pitch w:val="variable"/>
  </w:font>
  <w:font w:name="Webdings">
    <w:charset w:val="01" w:characterSet="utf-8"/>
    <w:family w:val="roman"/>
    <w:pitch w:val="variable"/>
  </w:font>
  <w:font w:name="Times">
    <w:altName w:val="Times New Roman"/>
    <w:charset w:val="01" w:characterSet="utf-8"/>
    <w:family w:val="roman"/>
    <w:pitch w:val="variable"/>
  </w:font>
  <w:font w:name="Arial">
    <w:altName w:val="Arial"/>
    <w:charset w:val="01" w:characterSet="utf-8"/>
    <w:family w:val="roman"/>
    <w:pitch w:val="variable"/>
  </w:font>
  <w:font w:name="Arial MT">
    <w:charset w:val="01" w:characterSet="utf-8"/>
    <w:family w:val="roman"/>
    <w:pitch w:val="variable"/>
  </w:font>
  <w:font w:name="Letter Gothic">
    <w:altName w:val="Courier New"/>
    <w:charset w:val="01" w:characterSet="utf-8"/>
    <w:family w:val="roman"/>
    <w:pitch w:val="variable"/>
  </w:font>
  <w:font w:name="GillSans">
    <w:altName w:val="Calibri"/>
    <w:charset w:val="01" w:characterSet="utf-8"/>
    <w:family w:val="roman"/>
    <w:pitch w:val="variable"/>
  </w:font>
  <w:font w:name="Tahoma">
    <w:charset w:val="01" w:characterSet="utf-8"/>
    <w:family w:val="roman"/>
    <w:pitch w:val="variable"/>
  </w:font>
  <w:font w:name="Courier">
    <w:altName w:val="Courier New"/>
    <w:charset w:val="01" w:characterSet="utf-8"/>
    <w:family w:val="roman"/>
    <w:pitch w:val="variable"/>
  </w:font>
  <w:font w:name="Corbel">
    <w:charset w:val="01" w:characterSet="utf-8"/>
    <w:family w:val="roman"/>
    <w:pitch w:val="variable"/>
  </w:font>
  <w:font w:name="Calibri">
    <w:charset w:val="01" w:characterSet="utf-8"/>
    <w:family w:val="roman"/>
    <w:pitch w:val="variable"/>
  </w:font>
  <w:font w:name="Webdings">
    <w:charset w:val="02"/>
    <w:family w:val="auto"/>
    <w:pitch w:val="variable"/>
  </w:font>
  <w:font w:name="Symbol">
    <w:charset w:val="02"/>
    <w:family w:val="auto"/>
    <w:pitch w:val="variable"/>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2"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jc w:val="end"/>
      <w:rPr/>
    </w:pPr>
    <w:r>
      <w:rPr/>
      <mc:AlternateContent>
        <mc:Choice Requires="wps">
          <w:drawing>
            <wp:anchor behindDoc="1" distT="0" distB="0" distL="0" distR="0" simplePos="0" locked="0" layoutInCell="0" allowOverlap="1" relativeHeight="8">
              <wp:simplePos x="0" y="0"/>
              <wp:positionH relativeFrom="margin">
                <wp:align>right</wp:align>
              </wp:positionH>
              <wp:positionV relativeFrom="paragraph">
                <wp:posOffset>635</wp:posOffset>
              </wp:positionV>
              <wp:extent cx="64135" cy="146685"/>
              <wp:effectExtent l="0" t="0" r="0" b="0"/>
              <wp:wrapSquare wrapText="bothSides"/>
              <wp:docPr id="4" name="Frame1"/>
              <a:graphic xmlns:a="http://schemas.openxmlformats.org/drawingml/2006/main">
                <a:graphicData uri="http://schemas.microsoft.com/office/word/2010/wordprocessingShape">
                  <wps:wsp>
                    <wps:cNvSpPr/>
                    <wps:spPr>
                      <a:xfrm>
                        <a:off x="0" y="0"/>
                        <a:ext cx="64080" cy="146520"/>
                      </a:xfrm>
                      <a:prstGeom prst="rect">
                        <a:avLst/>
                      </a:prstGeom>
                      <a:noFill/>
                      <a:ln w="0">
                        <a:noFill/>
                      </a:ln>
                    </wps:spPr>
                    <wps:style>
                      <a:lnRef idx="0"/>
                      <a:fillRef idx="0"/>
                      <a:effectRef idx="0"/>
                      <a:fontRef idx="minor"/>
                    </wps:style>
                    <wps:txb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wps:txbx>
                    <wps:bodyPr lIns="0" rIns="0" tIns="0" bIns="0" anchor="t">
                      <a:noAutofit/>
                    </wps:bodyPr>
                  </wps:wsp>
                </a:graphicData>
              </a:graphic>
            </wp:anchor>
          </w:drawing>
        </mc:Choice>
        <mc:Fallback>
          <w:pict>
            <v:rect id="shape_0" ID="Frame1" path="m0,0l-2147483645,0l-2147483645,-2147483646l0,-2147483646xe" fillcolor="white" stroked="f" o:allowincell="f" style="position:absolute;margin-left:448.45pt;margin-top:0.05pt;width:5pt;height:11.5pt;mso-wrap-style:square;v-text-anchor:top;mso-position-horizontal:right;mso-position-horizontal-relative:margin">
              <v:fill o:detectmouseclick="t" type="solid" color2="black" opacity="0"/>
              <v:stroke color="#3465a4" joinstyle="round" endcap="flat"/>
              <v:textbox>
                <w:txbx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txbxContent>
              </v:textbox>
              <w10:wrap type="squar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start"/>
      <w:pPr>
        <w:tabs>
          <w:tab w:val="num" w:pos="0"/>
        </w:tabs>
        <w:ind w:start="0" w:hanging="0"/>
      </w:pPr>
      <w:rPr/>
    </w:lvl>
    <w:lvl w:ilvl="1">
      <w:start w:val="1"/>
      <w:pStyle w:val="Heading2"/>
      <w:numFmt w:val="decimal"/>
      <w:lvlText w:val="%1.%2"/>
      <w:lvlJc w:val="start"/>
      <w:pPr>
        <w:tabs>
          <w:tab w:val="num" w:pos="0"/>
        </w:tabs>
        <w:ind w:start="0" w:hanging="0"/>
      </w:pPr>
      <w:rPr/>
    </w:lvl>
    <w:lvl w:ilvl="2">
      <w:start w:val="1"/>
      <w:pStyle w:val="Heading3"/>
      <w:numFmt w:val="decimal"/>
      <w:lvlText w:val="%1.%2.%3"/>
      <w:lvlJc w:val="start"/>
      <w:pPr>
        <w:tabs>
          <w:tab w:val="num" w:pos="0"/>
        </w:tabs>
        <w:ind w:start="0" w:hanging="0"/>
      </w:pPr>
      <w:rPr/>
    </w:lvl>
    <w:lvl w:ilvl="3">
      <w:start w:val="1"/>
      <w:numFmt w:val="decimal"/>
      <w:lvlText w:val="%1.%2.%3.%4"/>
      <w:lvlJc w:val="start"/>
      <w:pPr>
        <w:tabs>
          <w:tab w:val="num" w:pos="0"/>
        </w:tabs>
        <w:ind w:start="0" w:hanging="0"/>
      </w:pPr>
      <w:rPr/>
    </w:lvl>
    <w:lvl w:ilvl="4">
      <w:start w:val="1"/>
      <w:numFmt w:val="decimal"/>
      <w:lvlText w:val="%1.%2.%3.%4.%5"/>
      <w:lvlJc w:val="start"/>
      <w:pPr>
        <w:tabs>
          <w:tab w:val="num" w:pos="0"/>
        </w:tabs>
        <w:ind w:start="0" w:hanging="0"/>
      </w:pPr>
      <w:rPr/>
    </w:lvl>
    <w:lvl w:ilvl="5">
      <w:start w:val="1"/>
      <w:numFmt w:val="decimal"/>
      <w:lvlText w:val="%1.%2.%3.%4.%5.%6"/>
      <w:lvlJc w:val="start"/>
      <w:pPr>
        <w:tabs>
          <w:tab w:val="num" w:pos="0"/>
        </w:tabs>
        <w:ind w:start="0" w:hanging="0"/>
      </w:pPr>
      <w:rPr/>
    </w:lvl>
    <w:lvl w:ilvl="6">
      <w:start w:val="1"/>
      <w:numFmt w:val="decimal"/>
      <w:lvlText w:val="%1.%2.%3.%4.%5.%6.%7"/>
      <w:lvlJc w:val="start"/>
      <w:pPr>
        <w:tabs>
          <w:tab w:val="num" w:pos="0"/>
        </w:tabs>
        <w:ind w:start="0" w:hanging="0"/>
      </w:pPr>
      <w:rPr/>
    </w:lvl>
    <w:lvl w:ilvl="7">
      <w:start w:val="1"/>
      <w:numFmt w:val="decimal"/>
      <w:lvlText w:val="%1.%2.%3.%4.%5.%6.%7.%8"/>
      <w:lvlJc w:val="start"/>
      <w:pPr>
        <w:tabs>
          <w:tab w:val="num" w:pos="0"/>
        </w:tabs>
        <w:ind w:start="0" w:hanging="0"/>
      </w:pPr>
      <w:rPr/>
    </w:lvl>
    <w:lvl w:ilvl="8">
      <w:start w:val="1"/>
      <w:numFmt w:val="decimal"/>
      <w:lvlText w:val="%1.%2.%3.%4.%5.%6.%7.%8.%9"/>
      <w:lvlJc w:val="start"/>
      <w:pPr>
        <w:tabs>
          <w:tab w:val="num" w:pos="0"/>
        </w:tabs>
        <w:ind w:start="0" w:hanging="0"/>
      </w:pPr>
      <w:rPr/>
    </w:lvl>
  </w:abstractNum>
  <w:abstractNum w:abstractNumId="2">
    <w:lvl w:ilvl="0">
      <w:start w:val="1"/>
      <w:numFmt w:val="decimal"/>
      <w:lvlText w:val="%1)"/>
      <w:lvlJc w:val="start"/>
      <w:pPr>
        <w:tabs>
          <w:tab w:val="num" w:pos="0"/>
        </w:tabs>
        <w:ind w:start="72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3">
    <w:lvl w:ilvl="0">
      <w:start w:val="1"/>
      <w:numFmt w:val="bullet"/>
      <w:lvlText w:val=""/>
      <w:lvlJc w:val="start"/>
      <w:pPr>
        <w:tabs>
          <w:tab w:val="num" w:pos="360"/>
        </w:tabs>
        <w:ind w:start="360" w:hanging="360"/>
      </w:pPr>
      <w:rPr>
        <w:rFonts w:ascii="Webdings" w:hAnsi="Webdings" w:cs="Web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7">
    <w:lvl w:ilvl="0">
      <w:start w:val="1"/>
      <w:numFmt w:val="bullet"/>
      <w:lvlText w:val=""/>
      <w:lvlJc w:val="start"/>
      <w:pPr>
        <w:tabs>
          <w:tab w:val="num" w:pos="360"/>
        </w:tabs>
        <w:ind w:start="360" w:hanging="360"/>
      </w:pPr>
      <w:rPr>
        <w:rFonts w:ascii="Wingdings" w:hAnsi="Wingdings" w:cs="Wingdings"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bullet"/>
      <w:lvlText w:val=""/>
      <w:lvlJc w:val="start"/>
      <w:pPr>
        <w:tabs>
          <w:tab w:val="num" w:pos="360"/>
        </w:tabs>
        <w:ind w:start="360" w:hanging="360"/>
      </w:pPr>
      <w:rPr>
        <w:rFonts w:ascii="Symbol" w:hAnsi="Symbol" w:cs="Symbol" w:hint="default"/>
        <w:sz w:val="16"/>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bullet"/>
      <w:lvlText w:val=""/>
      <w:lvlJc w:val="start"/>
      <w:pPr>
        <w:tabs>
          <w:tab w:val="num" w:pos="360"/>
        </w:tabs>
        <w:ind w:start="360" w:hanging="360"/>
      </w:pPr>
      <w:rPr>
        <w:rFonts w:ascii="Symbol" w:hAnsi="Symbol" w:cs="Symbol" w:hint="default"/>
        <w:color w:val="000000"/>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1"/>
      <w:numFmt w:val="decimal"/>
      <w:lvlText w:val="%1."/>
      <w:lvlJc w:val="start"/>
      <w:pPr>
        <w:tabs>
          <w:tab w:val="num" w:pos="720"/>
        </w:tabs>
        <w:ind w:start="720" w:hanging="720"/>
      </w:pPr>
      <w:rPr/>
    </w:lvl>
    <w:lvl w:ilvl="1">
      <w:start w:val="1"/>
      <w:numFmt w:val="decimal"/>
      <w:lvlText w:val="%2."/>
      <w:lvlJc w:val="start"/>
      <w:pPr>
        <w:tabs>
          <w:tab w:val="num" w:pos="1440"/>
        </w:tabs>
        <w:ind w:start="1440" w:hanging="720"/>
      </w:pPr>
      <w:rPr/>
    </w:lvl>
    <w:lvl w:ilvl="2">
      <w:start w:val="1"/>
      <w:numFmt w:val="decimal"/>
      <w:lvlText w:val="%3."/>
      <w:lvlJc w:val="start"/>
      <w:pPr>
        <w:tabs>
          <w:tab w:val="num" w:pos="2160"/>
        </w:tabs>
        <w:ind w:start="2160" w:hanging="720"/>
      </w:pPr>
      <w:rPr/>
    </w:lvl>
    <w:lvl w:ilvl="3">
      <w:start w:val="1"/>
      <w:numFmt w:val="decimal"/>
      <w:lvlText w:val="%4."/>
      <w:lvlJc w:val="start"/>
      <w:pPr>
        <w:tabs>
          <w:tab w:val="num" w:pos="2880"/>
        </w:tabs>
        <w:ind w:start="2880" w:hanging="720"/>
      </w:pPr>
      <w:rPr/>
    </w:lvl>
    <w:lvl w:ilvl="4">
      <w:start w:val="1"/>
      <w:numFmt w:val="decimal"/>
      <w:lvlText w:val="%5."/>
      <w:lvlJc w:val="start"/>
      <w:pPr>
        <w:tabs>
          <w:tab w:val="num" w:pos="3600"/>
        </w:tabs>
        <w:ind w:start="3600" w:hanging="720"/>
      </w:pPr>
      <w:rPr/>
    </w:lvl>
    <w:lvl w:ilvl="5">
      <w:start w:val="1"/>
      <w:numFmt w:val="decimal"/>
      <w:lvlText w:val="%6."/>
      <w:lvlJc w:val="start"/>
      <w:pPr>
        <w:tabs>
          <w:tab w:val="num" w:pos="4320"/>
        </w:tabs>
        <w:ind w:start="4320" w:hanging="720"/>
      </w:pPr>
      <w:rPr/>
    </w:lvl>
    <w:lvl w:ilvl="6">
      <w:start w:val="1"/>
      <w:numFmt w:val="decimal"/>
      <w:lvlText w:val="%7."/>
      <w:lvlJc w:val="start"/>
      <w:pPr>
        <w:tabs>
          <w:tab w:val="num" w:pos="5040"/>
        </w:tabs>
        <w:ind w:start="5040" w:hanging="720"/>
      </w:pPr>
      <w:rPr/>
    </w:lvl>
    <w:lvl w:ilvl="7">
      <w:start w:val="1"/>
      <w:numFmt w:val="decimal"/>
      <w:lvlText w:val="%8."/>
      <w:lvlJc w:val="start"/>
      <w:pPr>
        <w:tabs>
          <w:tab w:val="num" w:pos="5760"/>
        </w:tabs>
        <w:ind w:start="5760" w:hanging="720"/>
      </w:pPr>
      <w:rPr/>
    </w:lvl>
    <w:lvl w:ilvl="8">
      <w:start w:val="1"/>
      <w:numFmt w:val="decimal"/>
      <w:lvlText w:val="%9."/>
      <w:lvlJc w:val="start"/>
      <w:pPr>
        <w:tabs>
          <w:tab w:val="num" w:pos="6480"/>
        </w:tabs>
        <w:ind w:start="6480" w:hanging="720"/>
      </w:pPr>
      <w:rPr/>
    </w:lvl>
  </w:abstractNum>
  <w:abstractNum w:abstractNumId="11">
    <w:lvl w:ilvl="0">
      <w:numFmt w:val="bullet"/>
      <w:lvlText w:val=""/>
      <w:lvlJc w:val="start"/>
      <w:pPr>
        <w:tabs>
          <w:tab w:val="num" w:pos="283"/>
        </w:tabs>
        <w:ind w:start="283" w:hanging="283"/>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trackRevisions/>
  <w:defaultTabStop w:val="708"/>
  <w:autoHyphenation w:val="true"/>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s-ES" w:eastAsia="zh-CN" w:bidi="ar-SA"/>
    </w:rPr>
  </w:style>
  <w:style w:type="paragraph" w:styleId="Heading1">
    <w:name w:val="Heading 1"/>
    <w:basedOn w:val="Normal"/>
    <w:next w:val="Texte"/>
    <w:qFormat/>
    <w:pPr>
      <w:keepNext w:val="true"/>
      <w:numPr>
        <w:ilvl w:val="0"/>
        <w:numId w:val="1"/>
      </w:numPr>
      <w:spacing w:before="284" w:after="142"/>
      <w:jc w:val="both"/>
      <w:outlineLvl w:val="0"/>
    </w:pPr>
    <w:rPr>
      <w:rFonts w:ascii="Times New Roman Gras;Times New Roman" w:hAnsi="Times New Roman Gras;Times New Roman" w:cs="Times New Roman Gras;Times New Roman"/>
      <w:b/>
      <w:sz w:val="24"/>
    </w:rPr>
  </w:style>
  <w:style w:type="paragraph" w:styleId="Heading2">
    <w:name w:val="Heading 2"/>
    <w:basedOn w:val="Normal"/>
    <w:next w:val="Retrait0"/>
    <w:qFormat/>
    <w:pPr>
      <w:keepNext w:val="true"/>
      <w:numPr>
        <w:ilvl w:val="1"/>
        <w:numId w:val="1"/>
      </w:numPr>
      <w:spacing w:before="142" w:after="142"/>
      <w:ind w:hanging="0" w:start="284" w:end="0"/>
      <w:jc w:val="both"/>
      <w:outlineLvl w:val="1"/>
    </w:pPr>
    <w:rPr>
      <w:sz w:val="24"/>
    </w:rPr>
  </w:style>
  <w:style w:type="paragraph" w:styleId="Heading3">
    <w:name w:val="Heading 3"/>
    <w:basedOn w:val="Normal"/>
    <w:next w:val="Retrait1"/>
    <w:qFormat/>
    <w:pPr>
      <w:keepNext w:val="true"/>
      <w:numPr>
        <w:ilvl w:val="2"/>
        <w:numId w:val="1"/>
      </w:numPr>
      <w:spacing w:before="142" w:after="142"/>
      <w:ind w:hanging="0" w:start="567" w:end="0"/>
      <w:jc w:val="both"/>
      <w:outlineLvl w:val="2"/>
    </w:pPr>
    <w:rPr>
      <w:i/>
      <w:sz w:val="24"/>
    </w:rPr>
  </w:style>
  <w:style w:type="paragraph" w:styleId="Heading4">
    <w:name w:val="Heading 4"/>
    <w:basedOn w:val="Normal"/>
    <w:next w:val="Normal"/>
    <w:qFormat/>
    <w:pPr>
      <w:keepNext w:val="true"/>
      <w:jc w:val="both"/>
      <w:outlineLvl w:val="3"/>
    </w:pPr>
    <w:rPr>
      <w:b/>
      <w:sz w:val="22"/>
    </w:rPr>
  </w:style>
  <w:style w:type="paragraph" w:styleId="Heading5">
    <w:name w:val="Heading 5"/>
    <w:basedOn w:val="Normal"/>
    <w:next w:val="Normal"/>
    <w:qFormat/>
    <w:pPr>
      <w:keepNext w:val="true"/>
      <w:outlineLvl w:val="4"/>
    </w:pPr>
    <w:rPr>
      <w:rFonts w:ascii="Arial" w:hAnsi="Arial" w:cs="Arial"/>
      <w:b/>
      <w:sz w:val="22"/>
    </w:rPr>
  </w:style>
  <w:style w:type="paragraph" w:styleId="Heading6">
    <w:name w:val="Heading 6"/>
    <w:basedOn w:val="Normal"/>
    <w:next w:val="Normal"/>
    <w:qFormat/>
    <w:pPr>
      <w:keepNext w:val="true"/>
      <w:outlineLvl w:val="5"/>
    </w:pPr>
    <w:rPr>
      <w:sz w:val="24"/>
      <w:u w:val="single"/>
    </w:rPr>
  </w:style>
  <w:style w:type="paragraph" w:styleId="Heading7">
    <w:name w:val="Heading 7"/>
    <w:basedOn w:val="Normal"/>
    <w:next w:val="Normal"/>
    <w:qFormat/>
    <w:pPr>
      <w:keepNext w:val="true"/>
      <w:outlineLvl w:val="6"/>
    </w:pPr>
    <w:rPr>
      <w:i/>
      <w:u w:val="single"/>
    </w:rPr>
  </w:style>
  <w:style w:type="paragraph" w:styleId="Heading8">
    <w:name w:val="Heading 8"/>
    <w:basedOn w:val="Normal"/>
    <w:next w:val="Normal"/>
    <w:qFormat/>
    <w:pPr>
      <w:keepNext w:val="true"/>
      <w:outlineLvl w:val="7"/>
    </w:pPr>
    <w:rPr>
      <w:b/>
    </w:rPr>
  </w:style>
  <w:style w:type="paragraph" w:styleId="Heading9">
    <w:name w:val="Heading 9"/>
    <w:basedOn w:val="Normal"/>
    <w:next w:val="Normal"/>
    <w:qFormat/>
    <w:pPr>
      <w:keepNext w:val="true"/>
      <w:outlineLvl w:val="8"/>
    </w:pPr>
    <w:rPr>
      <w:u w:val="single"/>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5z0">
    <w:name w:val="WW8Num5z0"/>
    <w:qFormat/>
    <w:rPr>
      <w:rFonts w:ascii="Symbol" w:hAnsi="Symbol" w:cs="Symbol"/>
    </w:rPr>
  </w:style>
  <w:style w:type="character" w:styleId="WW8Num6z0">
    <w:name w:val="WW8Num6z0"/>
    <w:qFormat/>
    <w:rPr/>
  </w:style>
  <w:style w:type="character" w:styleId="WW8Num7z0">
    <w:name w:val="WW8Num7z0"/>
    <w:qFormat/>
    <w:rPr>
      <w:rFonts w:ascii="Symbol" w:hAnsi="Symbol" w:cs="Symbol"/>
    </w:rPr>
  </w:style>
  <w:style w:type="character" w:styleId="WW8Num9z0">
    <w:name w:val="WW8Num9z0"/>
    <w:qFormat/>
    <w:rPr>
      <w:rFonts w:ascii="Arial" w:hAnsi="Arial" w:eastAsia="Times New Roman" w:cs="Arial"/>
    </w:rPr>
  </w:style>
  <w:style w:type="character" w:styleId="WW8Num9z1">
    <w:name w:val="WW8Num9z1"/>
    <w:qFormat/>
    <w:rPr>
      <w:rFonts w:ascii="Courier New" w:hAnsi="Courier New" w:cs="Courier New"/>
    </w:rPr>
  </w:style>
  <w:style w:type="character" w:styleId="WW8Num9z2">
    <w:name w:val="WW8Num9z2"/>
    <w:qFormat/>
    <w:rPr>
      <w:rFonts w:ascii="Wingdings" w:hAnsi="Wingdings" w:cs="Wingdings"/>
    </w:rPr>
  </w:style>
  <w:style w:type="character" w:styleId="WW8Num9z3">
    <w:name w:val="WW8Num9z3"/>
    <w:qFormat/>
    <w:rPr>
      <w:rFonts w:ascii="Symbol" w:hAnsi="Symbol" w:cs="Symbol"/>
    </w:rPr>
  </w:style>
  <w:style w:type="character" w:styleId="WW8Num10z0">
    <w:name w:val="WW8Num10z0"/>
    <w:qFormat/>
    <w:rPr>
      <w:rFonts w:ascii="Times New Roman" w:hAnsi="Times New Roman" w:cs="Times New Roman"/>
    </w:rPr>
  </w:style>
  <w:style w:type="character" w:styleId="WW8Num11z0">
    <w:name w:val="WW8Num11z0"/>
    <w:qFormat/>
    <w:rPr>
      <w:rFonts w:ascii="Webdings" w:hAnsi="Webdings" w:cs="Webdings"/>
    </w:rPr>
  </w:style>
  <w:style w:type="character" w:styleId="WW8Num13z0">
    <w:name w:val="WW8Num13z0"/>
    <w:qFormat/>
    <w:rPr>
      <w:rFonts w:ascii="Symbol" w:hAnsi="Symbol" w:cs="Symbol"/>
      <w:b w:val="false"/>
      <w:i w:val="false"/>
      <w:sz w:val="16"/>
    </w:rPr>
  </w:style>
  <w:style w:type="character" w:styleId="WW8Num14z0">
    <w:name w:val="WW8Num14z0"/>
    <w:qFormat/>
    <w:rPr>
      <w:rFonts w:ascii="Symbol" w:hAnsi="Symbol" w:cs="Symbol"/>
    </w:rPr>
  </w:style>
  <w:style w:type="character" w:styleId="WW8Num16z0">
    <w:name w:val="WW8Num16z0"/>
    <w:qFormat/>
    <w:rPr>
      <w:rFonts w:ascii="Symbol" w:hAnsi="Symbol" w:cs="Symbol"/>
    </w:rPr>
  </w:style>
  <w:style w:type="character" w:styleId="WW8Num17z0">
    <w:name w:val="WW8Num17z0"/>
    <w:qFormat/>
    <w:rPr>
      <w:rFonts w:ascii="Times New Roman" w:hAnsi="Times New Roman" w:cs="Times New Roman"/>
    </w:rPr>
  </w:style>
  <w:style w:type="character" w:styleId="WW8Num18z0">
    <w:name w:val="WW8Num18z0"/>
    <w:qFormat/>
    <w:rPr>
      <w:rFonts w:ascii="Symbol" w:hAnsi="Symbol" w:cs="Symbol"/>
      <w:sz w:val="16"/>
    </w:rPr>
  </w:style>
  <w:style w:type="character" w:styleId="WW8Num19z0">
    <w:name w:val="WW8Num19z0"/>
    <w:qFormat/>
    <w:rPr>
      <w:rFonts w:ascii="Symbol" w:hAnsi="Symbol" w:cs="Symbol"/>
    </w:rPr>
  </w:style>
  <w:style w:type="character" w:styleId="WW8Num19z1">
    <w:name w:val="WW8Num19z1"/>
    <w:qFormat/>
    <w:rPr>
      <w:rFonts w:ascii="Courier New" w:hAnsi="Courier New" w:cs="Courier New"/>
    </w:rPr>
  </w:style>
  <w:style w:type="character" w:styleId="WW8Num19z2">
    <w:name w:val="WW8Num19z2"/>
    <w:qFormat/>
    <w:rPr>
      <w:rFonts w:ascii="Wingdings" w:hAnsi="Wingdings" w:cs="Wingdings"/>
    </w:rPr>
  </w:style>
  <w:style w:type="character" w:styleId="WW8Num20z0">
    <w:name w:val="WW8Num20z0"/>
    <w:qFormat/>
    <w:rPr>
      <w:rFonts w:ascii="Wingdings" w:hAnsi="Wingdings" w:cs="Wingdings"/>
    </w:rPr>
  </w:style>
  <w:style w:type="character" w:styleId="WW8Num21z0">
    <w:name w:val="WW8Num21z0"/>
    <w:qFormat/>
    <w:rPr>
      <w:rFonts w:ascii="Wingdings" w:hAnsi="Wingdings" w:cs="Wingdings"/>
    </w:rPr>
  </w:style>
  <w:style w:type="character" w:styleId="WW8Num22z0">
    <w:name w:val="WW8Num22z0"/>
    <w:qFormat/>
    <w:rPr>
      <w:rFonts w:ascii="Symbol" w:hAnsi="Symbol" w:cs="Symbol"/>
      <w:color w:val="000000"/>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0">
    <w:name w:val="WW8Num23z0"/>
    <w:qFormat/>
    <w:rPr>
      <w:rFonts w:ascii="Arial" w:hAnsi="Arial" w:eastAsia="Times New Roman" w:cs="Arial"/>
    </w:rPr>
  </w:style>
  <w:style w:type="character" w:styleId="WW8Num24z0">
    <w:name w:val="WW8Num24z0"/>
    <w:qFormat/>
    <w:rPr>
      <w:rFonts w:ascii="Times New Roman" w:hAnsi="Times New Roman" w:cs="Times New Roman"/>
    </w:rPr>
  </w:style>
  <w:style w:type="character" w:styleId="WW8Num25z0">
    <w:name w:val="WW8Num25z0"/>
    <w:qFormat/>
    <w:rPr>
      <w:rFonts w:ascii="Symbol" w:hAnsi="Symbol" w:cs="Symbol"/>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6z0">
    <w:name w:val="WW8Num26z0"/>
    <w:qFormat/>
    <w:rPr>
      <w:rFonts w:ascii="Symbol" w:hAnsi="Symbol" w:cs="Symbol"/>
    </w:rPr>
  </w:style>
  <w:style w:type="character" w:styleId="WW8Num27z0">
    <w:name w:val="WW8Num27z0"/>
    <w:qFormat/>
    <w:rPr>
      <w:rFonts w:ascii="Times New Roman" w:hAnsi="Times New Roman" w:eastAsia="Times New Roman" w:cs="Times New Roman"/>
    </w:rPr>
  </w:style>
  <w:style w:type="character" w:styleId="WW8Num27z1">
    <w:name w:val="WW8Num27z1"/>
    <w:qFormat/>
    <w:rPr>
      <w:rFonts w:ascii="Courier New" w:hAnsi="Courier New" w:cs="Courier New"/>
    </w:rPr>
  </w:style>
  <w:style w:type="character" w:styleId="WW8Num27z2">
    <w:name w:val="WW8Num27z2"/>
    <w:qFormat/>
    <w:rPr>
      <w:rFonts w:ascii="Wingdings" w:hAnsi="Wingdings" w:cs="Wingdings"/>
    </w:rPr>
  </w:style>
  <w:style w:type="character" w:styleId="WW8Num27z3">
    <w:name w:val="WW8Num27z3"/>
    <w:qFormat/>
    <w:rPr>
      <w:rFonts w:ascii="Symbol" w:hAnsi="Symbol" w:cs="Symbol"/>
    </w:rPr>
  </w:style>
  <w:style w:type="character" w:styleId="WW8Num28z0">
    <w:name w:val="WW8Num28z0"/>
    <w:qFormat/>
    <w:rPr>
      <w:rFonts w:ascii="Times New Roman" w:hAnsi="Times New Roman" w:eastAsia="Times New Roman" w:cs="Times New Roman"/>
    </w:rPr>
  </w:style>
  <w:style w:type="character" w:styleId="WW8Num28z1">
    <w:name w:val="WW8Num28z1"/>
    <w:qFormat/>
    <w:rPr>
      <w:rFonts w:ascii="Courier New" w:hAnsi="Courier New" w:cs="Courier New"/>
    </w:rPr>
  </w:style>
  <w:style w:type="character" w:styleId="WW8Num28z2">
    <w:name w:val="WW8Num28z2"/>
    <w:qFormat/>
    <w:rPr>
      <w:rFonts w:ascii="Wingdings" w:hAnsi="Wingdings" w:cs="Wingdings"/>
    </w:rPr>
  </w:style>
  <w:style w:type="character" w:styleId="WW8Num28z3">
    <w:name w:val="WW8Num28z3"/>
    <w:qFormat/>
    <w:rPr>
      <w:rFonts w:ascii="Symbol" w:hAnsi="Symbol" w:cs="Symbol"/>
    </w:rPr>
  </w:style>
  <w:style w:type="character" w:styleId="WW8Num29z0">
    <w:name w:val="WW8Num29z0"/>
    <w:qFormat/>
    <w:rPr>
      <w:rFonts w:ascii="Symbol" w:hAnsi="Symbol" w:cs="Symbol"/>
      <w:sz w:val="16"/>
    </w:rPr>
  </w:style>
  <w:style w:type="character" w:styleId="WW8Num31z0">
    <w:name w:val="WW8Num31z0"/>
    <w:qFormat/>
    <w:rPr>
      <w:rFonts w:ascii="Symbol" w:hAnsi="Symbol" w:cs="Symbol"/>
      <w:color w:val="000000"/>
    </w:rPr>
  </w:style>
  <w:style w:type="character" w:styleId="WW8Num32z0">
    <w:name w:val="WW8Num32z0"/>
    <w:qFormat/>
    <w:rPr/>
  </w:style>
  <w:style w:type="character" w:styleId="WW8Num33z0">
    <w:name w:val="WW8Num33z0"/>
    <w:qFormat/>
    <w:rPr>
      <w:rFonts w:ascii="Times New Roman" w:hAnsi="Times New Roman" w:cs="Times New Roman"/>
    </w:rPr>
  </w:style>
  <w:style w:type="character" w:styleId="WW8Num34z0">
    <w:name w:val="WW8Num34z0"/>
    <w:qFormat/>
    <w:rPr>
      <w:rFonts w:ascii="Times New Roman" w:hAnsi="Times New Roman" w:cs="Times New Roman"/>
    </w:rPr>
  </w:style>
  <w:style w:type="character" w:styleId="WW8NumSt16z0">
    <w:name w:val="WW8NumSt16z0"/>
    <w:qFormat/>
    <w:rPr>
      <w:rFonts w:ascii="Times" w:hAnsi="Times" w:cs="Times"/>
      <w:sz w:val="24"/>
    </w:rPr>
  </w:style>
  <w:style w:type="character" w:styleId="WW8NumSt23z0">
    <w:name w:val="WW8NumSt23z0"/>
    <w:qFormat/>
    <w:rPr>
      <w:rFonts w:ascii="Symbol" w:hAnsi="Symbol" w:cs="Symbol"/>
    </w:rPr>
  </w:style>
  <w:style w:type="character" w:styleId="WW8NumSt36z0">
    <w:name w:val="WW8NumSt36z0"/>
    <w:qFormat/>
    <w:rPr>
      <w:rFonts w:ascii="Symbol" w:hAnsi="Symbol" w:cs="Symbol"/>
    </w:rPr>
  </w:style>
  <w:style w:type="character" w:styleId="WW8NumSt36z1">
    <w:name w:val="WW8NumSt36z1"/>
    <w:qFormat/>
    <w:rPr>
      <w:rFonts w:ascii="Courier New" w:hAnsi="Courier New" w:cs="Courier New"/>
    </w:rPr>
  </w:style>
  <w:style w:type="character" w:styleId="WW8NumSt36z2">
    <w:name w:val="WW8NumSt36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rPr/>
  </w:style>
  <w:style w:type="character" w:styleId="CommentReference">
    <w:name w:val="Comment Reference"/>
    <w:qFormat/>
    <w:rPr>
      <w:sz w:val="16"/>
      <w:szCs w:val="16"/>
    </w:rPr>
  </w:style>
  <w:style w:type="character" w:styleId="HeaderChar">
    <w:name w:val="Header Char"/>
    <w:qFormat/>
    <w:rPr/>
  </w:style>
  <w:style w:type="character" w:styleId="Hyperlink">
    <w:name w:val="Hyperlink"/>
    <w:rPr>
      <w:color w:val="0000FF"/>
      <w:u w:val="single"/>
    </w:rPr>
  </w:style>
  <w:style w:type="character" w:styleId="LineNumber">
    <w:name w:val="Line Number"/>
    <w:rPr/>
  </w:style>
  <w:style w:type="paragraph" w:styleId="Heading">
    <w:name w:val="Heading"/>
    <w:basedOn w:val="Normal"/>
    <w:next w:val="BodyText"/>
    <w:qFormat/>
    <w:pPr>
      <w:keepNext w:val="true"/>
      <w:spacing w:before="240" w:after="120"/>
    </w:pPr>
    <w:rPr>
      <w:rFonts w:ascii="Arial" w:hAnsi="Arial" w:eastAsia="Arial" w:cs="Times New Roman"/>
      <w:sz w:val="28"/>
      <w:szCs w:val="28"/>
    </w:rPr>
  </w:style>
  <w:style w:type="paragraph" w:styleId="BodyText">
    <w:name w:val="Body Text"/>
    <w:basedOn w:val="Normal"/>
    <w:pPr>
      <w:spacing w:before="0" w:after="141"/>
      <w:jc w:val="both"/>
    </w:pPr>
    <w:rPr>
      <w:rFonts w:ascii="Arial MT" w:hAnsi="Arial MT" w:cs="Arial MT"/>
    </w:rPr>
  </w:style>
  <w:style w:type="paragraph" w:styleId="List">
    <w:name w:val="List"/>
    <w:basedOn w:val="BodyText"/>
    <w:pPr/>
    <w:rPr>
      <w:rFonts w:cs="Times New Roman"/>
    </w:rPr>
  </w:style>
  <w:style w:type="paragraph" w:styleId="Caption">
    <w:name w:val="Caption"/>
    <w:basedOn w:val="Normal"/>
    <w:qFormat/>
    <w:pPr>
      <w:suppressLineNumbers/>
      <w:spacing w:before="120" w:after="120"/>
    </w:pPr>
    <w:rPr>
      <w:rFonts w:cs="Times New Roman"/>
      <w:i/>
      <w:iCs/>
      <w:sz w:val="24"/>
      <w:szCs w:val="24"/>
    </w:rPr>
  </w:style>
  <w:style w:type="paragraph" w:styleId="Index">
    <w:name w:val="Index"/>
    <w:basedOn w:val="Normal"/>
    <w:qFormat/>
    <w:pPr>
      <w:suppressLineNumbers/>
    </w:pPr>
    <w:rPr>
      <w:rFonts w:cs="Times New Roman"/>
    </w:rPr>
  </w:style>
  <w:style w:type="paragraph" w:styleId="Liste1">
    <w:name w:val="Liste 1"/>
    <w:basedOn w:val="Normal"/>
    <w:qFormat/>
    <w:pPr>
      <w:numPr>
        <w:ilvl w:val="0"/>
        <w:numId w:val="0"/>
      </w:numPr>
      <w:spacing w:before="142" w:after="0"/>
      <w:ind w:hanging="283" w:start="567" w:end="0"/>
      <w:jc w:val="both"/>
    </w:pPr>
    <w:rPr>
      <w:sz w:val="24"/>
    </w:rPr>
  </w:style>
  <w:style w:type="paragraph" w:styleId="Listea">
    <w:name w:val="Liste a"/>
    <w:basedOn w:val="Liste1"/>
    <w:qFormat/>
    <w:pPr>
      <w:ind w:hanging="283" w:start="853" w:end="0"/>
    </w:pPr>
    <w:rPr/>
  </w:style>
  <w:style w:type="paragraph" w:styleId="Noms">
    <w:name w:val="Noms"/>
    <w:basedOn w:val="Normal"/>
    <w:qFormat/>
    <w:pPr>
      <w:keepLines/>
      <w:tabs>
        <w:tab w:val="clear" w:pos="708"/>
        <w:tab w:val="left" w:pos="360" w:leader="none"/>
        <w:tab w:val="left" w:pos="3402" w:leader="none"/>
        <w:tab w:val="left" w:pos="3686" w:leader="none"/>
        <w:tab w:val="left" w:pos="4536" w:leader="none"/>
        <w:tab w:val="left" w:pos="5670" w:leader="none"/>
        <w:tab w:val="left" w:pos="6804" w:leader="none"/>
        <w:tab w:val="left" w:pos="7938" w:leader="none"/>
      </w:tabs>
      <w:ind w:hanging="0" w:start="2778" w:end="0"/>
    </w:pPr>
    <w:rPr>
      <w:sz w:val="24"/>
    </w:rPr>
  </w:style>
  <w:style w:type="paragraph" w:styleId="Objet">
    <w:name w:val="Objet"/>
    <w:basedOn w:val="Normal"/>
    <w:qFormat/>
    <w:pPr/>
    <w:rPr>
      <w:sz w:val="24"/>
    </w:rPr>
  </w:style>
  <w:style w:type="paragraph" w:styleId="Puce">
    <w:name w:val="Puce"/>
    <w:basedOn w:val="Normal"/>
    <w:qFormat/>
    <w:pPr>
      <w:numPr>
        <w:ilvl w:val="0"/>
        <w:numId w:val="9"/>
      </w:numPr>
      <w:spacing w:before="142" w:after="0"/>
      <w:jc w:val="both"/>
    </w:pPr>
    <w:rPr>
      <w:sz w:val="24"/>
    </w:rPr>
  </w:style>
  <w:style w:type="paragraph" w:styleId="Pflche">
    <w:name w:val="P. flèche"/>
    <w:basedOn w:val="Puce"/>
    <w:qFormat/>
    <w:pPr>
      <w:numPr>
        <w:ilvl w:val="0"/>
        <w:numId w:val="7"/>
      </w:numPr>
    </w:pPr>
    <w:rPr/>
  </w:style>
  <w:style w:type="paragraph" w:styleId="Plosange">
    <w:name w:val="P. losange"/>
    <w:basedOn w:val="Puce"/>
    <w:qFormat/>
    <w:pPr>
      <w:numPr>
        <w:ilvl w:val="0"/>
        <w:numId w:val="4"/>
      </w:numPr>
    </w:pPr>
    <w:rPr/>
  </w:style>
  <w:style w:type="paragraph" w:styleId="Pmarque">
    <w:name w:val="P. marque"/>
    <w:basedOn w:val="Puce"/>
    <w:qFormat/>
    <w:pPr>
      <w:numPr>
        <w:ilvl w:val="0"/>
        <w:numId w:val="6"/>
      </w:numPr>
    </w:pPr>
    <w:rPr/>
  </w:style>
  <w:style w:type="paragraph" w:styleId="Ppoint">
    <w:name w:val="P. point"/>
    <w:basedOn w:val="Puce"/>
    <w:qFormat/>
    <w:pPr>
      <w:numPr>
        <w:ilvl w:val="0"/>
        <w:numId w:val="5"/>
      </w:numPr>
    </w:pPr>
    <w:rPr/>
  </w:style>
  <w:style w:type="paragraph" w:styleId="Ptiret">
    <w:name w:val="P. tiret"/>
    <w:basedOn w:val="Ppoint"/>
    <w:qFormat/>
    <w:pPr>
      <w:numPr>
        <w:ilvl w:val="0"/>
        <w:numId w:val="8"/>
      </w:numPr>
    </w:pPr>
    <w:rPr/>
  </w:style>
  <w:style w:type="paragraph" w:styleId="Ptriangle">
    <w:name w:val="P. triangle"/>
    <w:basedOn w:val="Puce"/>
    <w:qFormat/>
    <w:pPr>
      <w:numPr>
        <w:ilvl w:val="0"/>
        <w:numId w:val="3"/>
      </w:numPr>
    </w:pPr>
    <w:rPr/>
  </w:style>
  <w:style w:type="paragraph" w:styleId="Retrait0">
    <w:name w:val="Retrait 0"/>
    <w:basedOn w:val="Normal"/>
    <w:qFormat/>
    <w:pPr>
      <w:spacing w:before="142" w:after="0"/>
      <w:ind w:hanging="0" w:start="284" w:end="0"/>
      <w:jc w:val="both"/>
    </w:pPr>
    <w:rPr>
      <w:sz w:val="24"/>
    </w:rPr>
  </w:style>
  <w:style w:type="paragraph" w:styleId="Retrait1">
    <w:name w:val="Retrait 1"/>
    <w:basedOn w:val="Retrait0"/>
    <w:qFormat/>
    <w:pPr>
      <w:ind w:hanging="0" w:start="567" w:end="0"/>
    </w:pPr>
    <w:rPr/>
  </w:style>
  <w:style w:type="paragraph" w:styleId="Retrait2">
    <w:name w:val="Retrait 2"/>
    <w:basedOn w:val="Retrait1"/>
    <w:qFormat/>
    <w:pPr>
      <w:ind w:hanging="0" w:start="1559" w:end="0"/>
    </w:pPr>
    <w:rPr/>
  </w:style>
  <w:style w:type="paragraph" w:styleId="Retrait150">
    <w:name w:val="Retrait1.50"/>
    <w:basedOn w:val="Retrait1"/>
    <w:qFormat/>
    <w:pPr>
      <w:ind w:hanging="0" w:start="851" w:end="0"/>
    </w:pPr>
    <w:rPr/>
  </w:style>
  <w:style w:type="paragraph" w:styleId="Texte">
    <w:name w:val="Texte"/>
    <w:basedOn w:val="Normal"/>
    <w:qFormat/>
    <w:pPr>
      <w:keepLines/>
      <w:tabs>
        <w:tab w:val="clear" w:pos="708"/>
        <w:tab w:val="left" w:pos="426"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spacing w:before="141" w:after="0"/>
      <w:jc w:val="both"/>
    </w:pPr>
    <w:rPr>
      <w:sz w:val="24"/>
    </w:rPr>
  </w:style>
  <w:style w:type="paragraph" w:styleId="Textecran">
    <w:name w:val="Texte écran"/>
    <w:basedOn w:val="Normal"/>
    <w:qFormat/>
    <w:pPr>
      <w:ind w:firstLine="567" w:start="567" w:end="0"/>
    </w:pPr>
    <w:rPr>
      <w:rFonts w:ascii="Letter Gothic;Courier New" w:hAnsi="Letter Gothic;Courier New" w:cs="Letter Gothic;Courier New"/>
      <w:sz w:val="16"/>
    </w:rPr>
  </w:style>
  <w:style w:type="paragraph" w:styleId="Textetableau">
    <w:name w:val="Texte tableau"/>
    <w:basedOn w:val="Normal"/>
    <w:qFormat/>
    <w:pPr/>
    <w:rPr>
      <w:sz w:val="24"/>
    </w:rPr>
  </w:style>
  <w:style w:type="paragraph" w:styleId="Txtcompact">
    <w:name w:val="Txt compact"/>
    <w:basedOn w:val="Normal"/>
    <w:qFormat/>
    <w:pPr>
      <w:keepLines/>
      <w:tabs>
        <w:tab w:val="clear" w:pos="708"/>
        <w:tab w:val="left" w:pos="851" w:leader="none"/>
        <w:tab w:val="left" w:pos="1134" w:leader="none"/>
        <w:tab w:val="left" w:pos="1701" w:leader="none"/>
        <w:tab w:val="left" w:pos="2268" w:leader="none"/>
        <w:tab w:val="left" w:pos="3402" w:leader="none"/>
        <w:tab w:val="left" w:pos="4536" w:leader="none"/>
        <w:tab w:val="left" w:pos="5670" w:leader="none"/>
        <w:tab w:val="left" w:pos="6804" w:leader="none"/>
        <w:tab w:val="left" w:pos="7938" w:leader="none"/>
      </w:tabs>
      <w:ind w:firstLine="426" w:start="0" w:end="0"/>
      <w:jc w:val="both"/>
    </w:pPr>
    <w:rPr>
      <w:sz w:val="24"/>
    </w:rPr>
  </w:style>
  <w:style w:type="paragraph" w:styleId="tiret">
    <w:name w:val="tiret"/>
    <w:basedOn w:val="Normal"/>
    <w:qFormat/>
    <w:pPr>
      <w:numPr>
        <w:ilvl w:val="0"/>
        <w:numId w:val="0"/>
      </w:numPr>
      <w:spacing w:before="0" w:after="141"/>
      <w:ind w:hanging="0" w:start="0" w:end="0"/>
      <w:jc w:val="both"/>
    </w:pPr>
    <w:rPr>
      <w:rFonts w:ascii="Arial MT" w:hAnsi="Arial MT" w:cs="Arial MT"/>
      <w:lang w:val="es-ES"/>
    </w:rPr>
  </w:style>
  <w:style w:type="paragraph" w:styleId="Textepardfaut">
    <w:name w:val="Texte par défaut"/>
    <w:basedOn w:val="Normal"/>
    <w:qFormat/>
    <w:pPr/>
    <w:rPr>
      <w:sz w:val="24"/>
      <w:lang w:val="es-ES"/>
    </w:rPr>
  </w:style>
  <w:style w:type="paragraph" w:styleId="BodyText1">
    <w:name w:val="Body Text1"/>
    <w:basedOn w:val="Normal"/>
    <w:qFormat/>
    <w:pPr>
      <w:spacing w:before="0" w:after="141"/>
      <w:jc w:val="both"/>
    </w:pPr>
    <w:rPr>
      <w:sz w:val="24"/>
      <w:lang w:val="en-US" w:eastAsia="en-US"/>
    </w:rPr>
  </w:style>
  <w:style w:type="paragraph" w:styleId="BodyText2">
    <w:name w:val="Body Text 2"/>
    <w:basedOn w:val="Normal"/>
    <w:qFormat/>
    <w:pPr>
      <w:jc w:val="both"/>
    </w:pPr>
    <w:rPr>
      <w:rFonts w:ascii="Arial" w:hAnsi="Arial" w:cs="Arial"/>
    </w:rPr>
  </w:style>
  <w:style w:type="paragraph" w:styleId="WPBullets">
    <w:name w:val="WP Bullets"/>
    <w:basedOn w:val="Normal"/>
    <w:qFormat/>
    <w:pPr>
      <w:numPr>
        <w:ilvl w:val="0"/>
        <w:numId w:val="0"/>
      </w:numPr>
      <w:spacing w:before="0" w:after="141"/>
      <w:ind w:hanging="0" w:start="0" w:end="0"/>
      <w:jc w:val="both"/>
    </w:pPr>
    <w:rPr>
      <w:rFonts w:ascii="Arial MT" w:hAnsi="Arial MT" w:cs="Arial MT"/>
    </w:rPr>
  </w:style>
  <w:style w:type="paragraph" w:styleId="BodyText3">
    <w:name w:val="Body Text 3"/>
    <w:basedOn w:val="Normal"/>
    <w:qFormat/>
    <w:pPr>
      <w:jc w:val="both"/>
    </w:pPr>
    <w:rPr>
      <w:b/>
      <w:color w:val="800080"/>
      <w:sz w:val="24"/>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ARTICLEREGLEMENT">
    <w:name w:val="ARTICLE_REGLEMENT"/>
    <w:qFormat/>
    <w:pPr>
      <w:widowControl/>
      <w:numPr>
        <w:ilvl w:val="0"/>
        <w:numId w:val="10"/>
      </w:numPr>
      <w:suppressAutoHyphens w:val="true"/>
      <w:bidi w:val="0"/>
      <w:spacing w:before="120" w:after="60"/>
      <w:ind w:hanging="340" w:start="340" w:end="0"/>
      <w:jc w:val="center"/>
    </w:pPr>
    <w:rPr>
      <w:rFonts w:ascii="GillSans;Calibri" w:hAnsi="GillSans;Calibri" w:eastAsia="Times New Roman" w:cs="GillSans;Calibri"/>
      <w:b/>
      <w:color w:val="auto"/>
      <w:kern w:val="0"/>
      <w:sz w:val="22"/>
      <w:szCs w:val="20"/>
      <w:lang w:val="es-ES" w:eastAsia="zh-CN" w:bidi="ar-SA"/>
    </w:rPr>
  </w:style>
  <w:style w:type="paragraph" w:styleId="Footer">
    <w:name w:val="Footer"/>
    <w:basedOn w:val="Normal"/>
    <w:pPr>
      <w:tabs>
        <w:tab w:val="clear" w:pos="708"/>
        <w:tab w:val="center" w:pos="4536" w:leader="none"/>
        <w:tab w:val="right" w:pos="9072" w:leader="none"/>
      </w:tabs>
    </w:pPr>
    <w:rPr/>
  </w:style>
  <w:style w:type="paragraph" w:styleId="BalloonText">
    <w:name w:val="Balloon Text"/>
    <w:basedOn w:val="Normal"/>
    <w:qFormat/>
    <w:pPr/>
    <w:rPr>
      <w:rFonts w:ascii="Tahoma" w:hAnsi="Tahoma" w:cs="Tahoma"/>
      <w:sz w:val="16"/>
      <w:szCs w:val="16"/>
    </w:rPr>
  </w:style>
  <w:style w:type="paragraph" w:styleId="PlainText">
    <w:name w:val="Plain Text"/>
    <w:basedOn w:val="Normal"/>
    <w:qFormat/>
    <w:pPr/>
    <w:rPr>
      <w:rFonts w:ascii="Courier New" w:hAnsi="Courier New" w:cs="Courier New"/>
    </w:rPr>
  </w:style>
  <w:style w:type="paragraph" w:styleId="Titre3Niveau111">
    <w:name w:val="Titre 3.Niveau 1 1 1"/>
    <w:basedOn w:val="Normal"/>
    <w:next w:val="Normal"/>
    <w:qFormat/>
    <w:pPr>
      <w:keepNext w:val="true"/>
      <w:spacing w:before="142" w:after="142"/>
      <w:jc w:val="center"/>
      <w:outlineLvl w:val="2"/>
    </w:pPr>
    <w:rPr>
      <w:b/>
      <w:sz w:val="24"/>
      <w:u w:val="single"/>
    </w:rPr>
  </w:style>
  <w:style w:type="paragraph" w:styleId="ssPara1">
    <w:name w:val="ssPara1"/>
    <w:basedOn w:val="Normal"/>
    <w:qFormat/>
    <w:pPr>
      <w:spacing w:lineRule="atLeast" w:line="260" w:before="0" w:after="260"/>
      <w:jc w:val="both"/>
    </w:pPr>
    <w:rPr>
      <w:rFonts w:ascii="Arial" w:hAnsi="Arial" w:cs="Arial"/>
      <w:sz w:val="22"/>
      <w:szCs w:val="22"/>
      <w:lang w:val="es-ES"/>
    </w:rPr>
  </w:style>
  <w:style w:type="paragraph" w:styleId="tabulationadresse">
    <w:name w:val="tabulation adresse"/>
    <w:qFormat/>
    <w:pPr>
      <w:widowControl/>
      <w:tabs>
        <w:tab w:val="clear" w:pos="708"/>
        <w:tab w:val="left" w:pos="-23" w:leader="none"/>
        <w:tab w:val="left" w:pos="4729" w:leader="none"/>
        <w:tab w:val="left" w:pos="4933" w:leader="none"/>
        <w:tab w:val="left" w:pos="5641" w:leader="none"/>
        <w:tab w:val="left" w:pos="6349" w:leader="none"/>
        <w:tab w:val="left" w:pos="7057" w:leader="none"/>
        <w:tab w:val="left" w:pos="7765" w:leader="none"/>
        <w:tab w:val="left" w:pos="8473" w:leader="none"/>
      </w:tabs>
      <w:suppressAutoHyphens w:val="true"/>
      <w:bidi w:val="0"/>
      <w:spacing w:before="0" w:after="0"/>
      <w:jc w:val="start"/>
    </w:pPr>
    <w:rPr>
      <w:rFonts w:ascii="Courier" w:hAnsi="Courier" w:eastAsia="Times New Roman" w:cs="Courier"/>
      <w:color w:val="auto"/>
      <w:kern w:val="0"/>
      <w:sz w:val="24"/>
      <w:szCs w:val="20"/>
      <w:lang w:val="es-ES" w:eastAsia="zh-CN" w:bidi="ar-SA"/>
    </w:rPr>
  </w:style>
  <w:style w:type="paragraph" w:styleId="CommentText">
    <w:name w:val="Comment Text"/>
    <w:basedOn w:val="Normal"/>
    <w:qFormat/>
    <w:pPr/>
    <w:rPr/>
  </w:style>
  <w:style w:type="paragraph" w:styleId="CommentSubject">
    <w:name w:val="Comment Subject"/>
    <w:basedOn w:val="CommentText"/>
    <w:next w:val="CommentText"/>
    <w:qFormat/>
    <w:pPr/>
    <w:rPr>
      <w:b/>
      <w:bCs/>
    </w:rPr>
  </w:style>
  <w:style w:type="paragraph" w:styleId="Default">
    <w:name w:val="Default"/>
    <w:qFormat/>
    <w:pPr>
      <w:widowControl/>
      <w:suppressAutoHyphens w:val="true"/>
      <w:bidi w:val="0"/>
      <w:spacing w:before="0" w:after="0"/>
      <w:jc w:val="start"/>
    </w:pPr>
    <w:rPr>
      <w:rFonts w:ascii="Arial" w:hAnsi="Arial" w:eastAsia="Times New Roman" w:cs="Arial"/>
      <w:color w:val="000000"/>
      <w:kern w:val="0"/>
      <w:sz w:val="24"/>
      <w:szCs w:val="24"/>
      <w:lang w:val="es-ES" w:eastAsia="zh-CN" w:bidi="ar-SA"/>
    </w:rPr>
  </w:style>
  <w:style w:type="paragraph" w:styleId="ListParagraph">
    <w:name w:val="List Paragraph"/>
    <w:basedOn w:val="Normal"/>
    <w:qFormat/>
    <w:pPr>
      <w:ind w:hanging="0" w:start="708" w:end="0"/>
    </w:pPr>
    <w:rPr/>
  </w:style>
  <w:style w:type="paragraph" w:styleId="Revision">
    <w:name w:val="Revision"/>
    <w:qFormat/>
    <w:pPr>
      <w:widowControl/>
      <w:suppressAutoHyphens w:val="true"/>
      <w:bidi w:val="0"/>
      <w:spacing w:before="0" w:after="0"/>
      <w:jc w:val="start"/>
    </w:pPr>
    <w:rPr>
      <w:rFonts w:ascii="Times New Roman" w:hAnsi="Times New Roman" w:eastAsia="Times New Roman" w:cs="Times New Roman"/>
      <w:color w:val="auto"/>
      <w:kern w:val="0"/>
      <w:sz w:val="20"/>
      <w:szCs w:val="20"/>
      <w:lang w:val="es-ES" w:eastAsia="zh-CN" w:bidi="ar-SA"/>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TotalTime>
  <Application>LibreOffice/24.2.7.2$Linux_X86_64 LibreOffice_project/420$Build-2</Application>
  <AppVersion>15.0000</AppVersion>
  <Pages>2</Pages>
  <Words>836</Words>
  <Characters>4324</Characters>
  <CharactersWithSpaces>5134</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2024-09-12T14:09:00Z</dcterms:created>
  <dc:creator>C.C.B.P.</dc:creator>
  <dc:description/>
  <dc:language>en-US</dc:language>
  <cp:lastModifiedBy/>
  <cp:lastPrinted>2008-03-28T15:22:00Z</cp:lastPrinted>
  <dcterms:modified xsi:type="dcterms:W3CDTF">2026-09-28T07:43:55Z</dcterms:modified>
  <cp:revision>12</cp:revision>
  <dc:subject/>
  <dc:title>CONVERTIBLE BOND EUROPE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e83a6fe-0b6e-4399-9d09-a1c8d8d5000c_Application">
    <vt:lpwstr>Microsoft Azure Information Protection</vt:lpwstr>
  </property>
  <property fmtid="{D5CDD505-2E9C-101B-9397-08002B2CF9AE}" pid="3" name="MSIP_Label_6e83a6fe-0b6e-4399-9d09-a1c8d8d5000c_Enabled">
    <vt:lpwstr>True</vt:lpwstr>
  </property>
  <property fmtid="{D5CDD505-2E9C-101B-9397-08002B2CF9AE}" pid="4" name="MSIP_Label_6e83a6fe-0b6e-4399-9d09-a1c8d8d5000c_Extended_MSFT_Method">
    <vt:lpwstr>Automatic</vt:lpwstr>
  </property>
  <property fmtid="{D5CDD505-2E9C-101B-9397-08002B2CF9AE}" pid="5" name="MSIP_Label_6e83a6fe-0b6e-4399-9d09-a1c8d8d5000c_Name">
    <vt:lpwstr>C1 - Public Natixis</vt:lpwstr>
  </property>
  <property fmtid="{D5CDD505-2E9C-101B-9397-08002B2CF9AE}" pid="6" name="MSIP_Label_6e83a6fe-0b6e-4399-9d09-a1c8d8d5000c_Owner">
    <vt:lpwstr>sfethi@cib.net</vt:lpwstr>
  </property>
  <property fmtid="{D5CDD505-2E9C-101B-9397-08002B2CF9AE}" pid="7" name="MSIP_Label_6e83a6fe-0b6e-4399-9d09-a1c8d8d5000c_SetDate">
    <vt:lpwstr>2019-03-04T10:58:07.5225416Z</vt:lpwstr>
  </property>
  <property fmtid="{D5CDD505-2E9C-101B-9397-08002B2CF9AE}" pid="8" name="MSIP_Label_6e83a6fe-0b6e-4399-9d09-a1c8d8d5000c_SiteId">
    <vt:lpwstr>d5bb6d35-8a82-4329-b49a-5030bd6497ab</vt:lpwstr>
  </property>
  <property fmtid="{D5CDD505-2E9C-101B-9397-08002B2CF9AE}" pid="9" name="Sensitivity">
    <vt:lpwstr>C1 - Public Natixis</vt:lpwstr>
  </property>
</Properties>
</file>