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rbel" w:hAnsi="Corbel" w:cs="Arial"/>
          <w:b/>
          <w:caps/>
          <w:sz w:val="22"/>
          <w:szCs w:val="22"/>
        </w:rPr>
      </w:pPr>
      <w:r>
        <w:rPr>
          <w:rFonts w:cs="Corbel" w:ascii="Corbel" w:hAnsi="Corbel"/>
          <w:b/>
          <w:caps/>
          <w:sz w:val="22"/>
        </w:rPr>
        <w:t>H2O INVEST</w:t>
      </w:r>
    </w:p>
    <w:p>
      <w:pPr>
        <w:pStyle w:val="Normal"/>
        <w:jc w:val="center"/>
        <w:rPr>
          <w:rFonts w:ascii="Corbel" w:hAnsi="Corbel" w:cs="Arial"/>
        </w:rPr>
      </w:pPr>
      <w:r>
        <w:rPr>
          <w:rFonts w:cs="Corbel" w:ascii="Corbel" w:hAnsi="Corbel"/>
        </w:rPr>
        <w:t>An open-ended investment company governed by French law in the form of a simplified joint stock company (</w:t>
      </w:r>
      <w:r>
        <w:rPr>
          <w:rFonts w:cs="Corbel" w:ascii="Corbel" w:hAnsi="Corbel"/>
          <w:i/>
          <w:iCs/>
        </w:rPr>
        <w:t>société par actions simplifiée</w:t>
      </w:r>
      <w:r>
        <w:rPr>
          <w:rFonts w:cs="Corbel" w:ascii="Corbel" w:hAnsi="Corbel"/>
        </w:rPr>
        <w:t xml:space="preserve"> – SAS) with an initial share capital of €9,163,641.46</w:t>
        <w:br/>
        <w:t>Registered office: 39 Avenue Pierre 1</w:t>
      </w:r>
      <w:r>
        <w:rPr>
          <w:rFonts w:cs="Corbel" w:ascii="Corbel" w:hAnsi="Corbel"/>
          <w:vertAlign w:val="superscript"/>
        </w:rPr>
        <w:t>er</w:t>
      </w:r>
      <w:r>
        <w:rPr>
          <w:rFonts w:cs="Corbel" w:ascii="Corbel" w:hAnsi="Corbel"/>
        </w:rPr>
        <w:t xml:space="preserve"> de Serbie – 75008 Paris, France</w:t>
        <w:br/>
        <w:t>Paris Trade and Companies Register (RCS) No.</w:t>
      </w:r>
      <w:r>
        <w:rPr>
          <w:rFonts w:cs="Corbel" w:ascii="Corbel" w:hAnsi="Corbel"/>
          <w:color w:val="000000"/>
        </w:rPr>
        <w:t xml:space="preserve"> </w:t>
      </w:r>
      <w:r>
        <w:rPr>
          <w:rFonts w:cs="Corbel" w:ascii="Corbel" w:hAnsi="Corbel"/>
        </w:rPr>
        <w:t>532 900 081</w:t>
      </w:r>
    </w:p>
    <w:p>
      <w:pPr>
        <w:pStyle w:val="BodyText"/>
        <w:rPr>
          <w:rFonts w:ascii="Corbel" w:hAnsi="Corbel" w:cs="Corbel"/>
        </w:rPr>
      </w:pPr>
      <w:r>
        <w:rPr>
          <w:rFonts w:cs="Corbel" w:ascii="Corbel" w:hAnsi="Corbel"/>
        </w:rPr>
      </w:r>
    </w:p>
    <w:p>
      <w:pPr>
        <w:pStyle w:val="BodyText"/>
        <w:keepNext/>
        <w:keepLines/>
        <w:spacing w:before="0" w:after="0"/>
        <w:jc w:val="center"/>
        <w:rPr>
          <w:rFonts w:ascii="Corbel" w:hAnsi="Corbel" w:cs="Arial"/>
          <w:b/>
          <w:u w:val="single"/>
        </w:rPr>
      </w:pPr>
      <w:r>
        <w:rPr>
          <w:rFonts w:cs="Corbel" w:ascii="Corbel" w:hAnsi="Corbel"/>
          <w:b/>
          <w:u w:val="single"/>
        </w:rPr>
        <w:t>NOTICE OF MEETING</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Corbel"/>
          <w:b/>
          <w:u w:val="single"/>
        </w:rPr>
      </w:pPr>
      <w:r>
        <w:rPr>
          <w:rFonts w:cs="Corbel" w:ascii="Corbel" w:hAnsi="Corbel"/>
          <w:b/>
          <w:u w:val="single"/>
        </w:rPr>
      </w:r>
    </w:p>
    <w:p>
      <w:pPr>
        <w:pStyle w:val="Normal"/>
        <w:ind w:end="-143"/>
        <w:jc w:val="both"/>
        <w:rPr>
          <w:rFonts w:ascii="Corbel" w:hAnsi="Corbel" w:cs="Arial"/>
          <w:spacing w:val="-2"/>
        </w:rPr>
      </w:pPr>
      <w:r>
        <w:rPr>
          <w:rFonts w:cs="Corbel" w:ascii="Corbel" w:hAnsi="Corbel"/>
        </w:rPr>
        <w:t xml:space="preserve">The Company’s shareholders are hereby notified of an Annual Ordinary General Meeting taking place on 30 October 2026 </w:t>
      </w:r>
    </w:p>
    <w:p>
      <w:pPr>
        <w:pStyle w:val="Normal"/>
        <w:keepNext/>
        <w:keepLines/>
        <w:ind w:end="-143"/>
        <w:jc w:val="both"/>
        <w:rPr>
          <w:rFonts w:ascii="Corbel" w:hAnsi="Corbel" w:cs="Arial"/>
        </w:rPr>
      </w:pPr>
      <w:r>
        <w:rPr>
          <w:rFonts w:cs="Corbel" w:ascii="Corbel" w:hAnsi="Corbel"/>
        </w:rPr>
        <w:t>at 10:00 a.m., in order to deliberate the agenda below:</w:t>
      </w:r>
    </w:p>
    <w:p>
      <w:pPr>
        <w:pStyle w:val="Normal"/>
        <w:keepNext/>
        <w:ind w:end="-46"/>
        <w:jc w:val="both"/>
        <w:rPr>
          <w:rFonts w:ascii="Corbel" w:hAnsi="Corbel" w:cs="Arial"/>
        </w:rPr>
      </w:pPr>
      <w:r>
        <w:rPr>
          <w:rFonts w:cs="Arial" w:ascii="Corbel" w:hAnsi="Corbel"/>
        </w:rPr>
      </w:r>
    </w:p>
    <w:p>
      <w:pPr>
        <w:pStyle w:val="Normal"/>
        <w:keepNext/>
        <w:keepLines/>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Corbel" w:hAnsi="Corbel" w:cs="Arial"/>
          <w:b/>
          <w:bCs/>
          <w:iCs/>
          <w:u w:val="single"/>
        </w:rPr>
      </w:pPr>
      <w:r>
        <w:rPr>
          <w:rFonts w:cs="Corbel" w:ascii="Corbel" w:hAnsi="Corbel"/>
          <w:b/>
          <w:u w:val="single"/>
        </w:rPr>
        <w:t>AGENDA</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b/>
          <w:bCs/>
          <w:iCs/>
          <w:spacing w:val="-3"/>
          <w:u w:val="single"/>
        </w:rPr>
      </w:pPr>
      <w:r>
        <w:rPr>
          <w:rFonts w:cs="Arial" w:ascii="Corbel" w:hAnsi="Corbel"/>
          <w:b/>
          <w:bCs/>
          <w:iCs/>
          <w:spacing w:val="-3"/>
          <w:u w:val="single"/>
        </w:rPr>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spacing w:val="-3"/>
        </w:rPr>
      </w:pPr>
      <w:r>
        <w:rPr>
          <w:rFonts w:cs="Arial" w:ascii="Corbel" w:hAnsi="Corbel"/>
          <w:spacing w:val="-3"/>
        </w:rPr>
      </w:r>
    </w:p>
    <w:p>
      <w:pPr>
        <w:pStyle w:val="Normal"/>
        <w:numPr>
          <w:ilvl w:val="0"/>
          <w:numId w:val="12"/>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Reading of the Chairman and Statutory Auditor’s reports on the financial statements for the financial year ended 30 June 2026;</w:t>
      </w:r>
    </w:p>
    <w:p>
      <w:pPr>
        <w:pStyle w:val="Normal"/>
        <w:numPr>
          <w:ilvl w:val="0"/>
          <w:numId w:val="12"/>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 xml:space="preserve">Reading of the Statutory Auditor’s special report on the agreements referred to in Article </w:t>
        <w:t xml:space="preserve">L. 227</w:t>
        <w:noBreakHyphen/>
        <w:t xml:space="preserve">10 of the French Commercial Code;</w:t>
      </w:r>
    </w:p>
    <w:p>
      <w:pPr>
        <w:pStyle w:val="Normal"/>
        <w:numPr>
          <w:ilvl w:val="0"/>
          <w:numId w:val="12"/>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Review and approval of the annual financial statements, discharge of the Chairman;</w:t>
      </w:r>
    </w:p>
    <w:p>
      <w:pPr>
        <w:pStyle w:val="Normal"/>
        <w:numPr>
          <w:ilvl w:val="0"/>
          <w:numId w:val="12"/>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Allocation of distributable income;</w:t>
      </w:r>
    </w:p>
    <w:p>
      <w:pPr>
        <w:pStyle w:val="Normal"/>
        <w:numPr>
          <w:ilvl w:val="0"/>
          <w:numId w:val="12"/>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Powers for the completion of formalities.</w:t>
      </w:r>
    </w:p>
    <w:p>
      <w:pPr>
        <w:pStyle w:val="Normal"/>
        <w:tabs>
          <w:tab w:val="clear" w:pos="708"/>
          <w:tab w:val="left" w:pos="8640" w:leader="none"/>
          <w:tab w:val="right" w:pos="9072" w:leader="dot"/>
        </w:tabs>
        <w:jc w:val="both"/>
        <w:rPr>
          <w:rFonts w:ascii="Corbel" w:hAnsi="Corbel" w:cs="Arial"/>
          <w:spacing w:val="-2"/>
          <w:highlight w:val="yellow"/>
        </w:rPr>
      </w:pPr>
      <w:r>
        <w:rPr>
          <w:rFonts w:cs="Arial" w:ascii="Corbel" w:hAnsi="Corbel"/>
          <w:spacing w:val="-2"/>
          <w:highlight w:val="yellow"/>
        </w:rPr>
      </w:r>
    </w:p>
    <w:p>
      <w:pPr>
        <w:pStyle w:val="Normal"/>
        <w:tabs>
          <w:tab w:val="clear" w:pos="708"/>
          <w:tab w:val="left" w:pos="0" w:leader="none"/>
          <w:tab w:val="left" w:pos="317" w:leader="none"/>
          <w:tab w:val="left" w:pos="1392" w:leader="none"/>
          <w:tab w:val="left" w:pos="1678" w:leader="none"/>
          <w:tab w:val="left" w:pos="2160" w:leader="none"/>
        </w:tabs>
        <w:suppressAutoHyphens w:val="true"/>
        <w:spacing w:lineRule="atLeast" w:line="240"/>
        <w:jc w:val="both"/>
        <w:rPr>
          <w:rFonts w:ascii="Corbel" w:hAnsi="Corbel" w:cs="Arial"/>
          <w:color w:val="FF0000"/>
          <w:spacing w:val="-2"/>
          <w:highlight w:val="yellow"/>
          <w:lang w:eastAsia="en-US"/>
        </w:rPr>
      </w:pPr>
      <w:r>
        <w:rPr>
          <w:rFonts w:cs="Arial" w:ascii="Corbel" w:hAnsi="Corbel"/>
          <w:color w:val="FF0000"/>
          <w:spacing w:val="-2"/>
          <w:highlight w:val="yellow"/>
          <w:lang w:eastAsia="en-US"/>
        </w:rPr>
      </w:r>
    </w:p>
    <w:p>
      <w:pPr>
        <w:pStyle w:val="Normal"/>
        <w:tabs>
          <w:tab w:val="left" w:pos="0" w:leader="none"/>
          <w:tab w:val="left" w:pos="708" w:leader="none"/>
          <w:tab w:val="left" w:pos="1440"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Arial" w:hAnsi="Arial" w:cs="Arial"/>
          <w:b/>
          <w:spacing w:val="-2"/>
        </w:rPr>
      </w:pPr>
      <w:r>
        <w:rPr>
          <w:rFonts w:cs="Arial" w:ascii="Arial" w:hAnsi="Arial"/>
          <w:b/>
        </w:rPr>
        <w:t>_____________________________________</w:t>
      </w:r>
    </w:p>
    <w:p>
      <w:pPr>
        <w:pStyle w:val="Normal"/>
        <w:ind w:end="-46"/>
        <w:jc w:val="both"/>
        <w:rPr>
          <w:rFonts w:ascii="Arial" w:hAnsi="Arial" w:cs="Arial"/>
          <w:b/>
          <w:spacing w:val="-2"/>
        </w:rPr>
      </w:pPr>
      <w:r>
        <w:rPr>
          <w:rFonts w:cs="Arial" w:ascii="Arial" w:hAnsi="Arial"/>
          <w:b/>
          <w:spacing w:val="-2"/>
        </w:rPr>
      </w:r>
    </w:p>
    <w:p>
      <w:pPr>
        <w:pStyle w:val="Normal"/>
        <w:ind w:end="-46"/>
        <w:jc w:val="both"/>
        <w:rPr>
          <w:rFonts w:ascii="Corbel" w:hAnsi="Corbel" w:cs="Arial"/>
          <w:sz w:val="22"/>
          <w:szCs w:val="22"/>
        </w:rPr>
      </w:pPr>
      <w:r>
        <w:rPr>
          <w:rFonts w:cs="Corbel" w:ascii="Corbel" w:hAnsi="Corbel"/>
          <w:sz w:val="22"/>
        </w:rPr>
        <w:t xml:space="preserve">Shareholders have the right to take part in this meeting regardless of the number of shares held, notwithstanding any contrary statutory provisions.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Attendance at General Meetings is subject to registration of the shares in the name of the shareholder or of the intermediary registered on their behalf pursuant to Article L. 228</w:t>
        <w:noBreakHyphen/>
        <w:t xml:space="preserve">1 of the French Commercial Code, at midnight (Paris time) on the fifth business day prior to the meeting, either in the registered share accounts held by the company or in the bearer share accounts held by the authorised intermediary.</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Registration in bearer share accounts held by the authorised intermediary must be recorded in a shareholding certificate submitted by the intermediary, if necessary electronically under the terms laid out in Article R. 225</w:t>
        <w:noBreakHyphen/>
        <w:t xml:space="preserve">61 of the French Commercial Code, and attached to the remote voting or proxy form or to the admission card request established in the name of the shareholder or on behalf of the shareholder represented by the registered intermediary. </w:t>
      </w:r>
    </w:p>
    <w:p>
      <w:pPr>
        <w:pStyle w:val="Normal"/>
        <w:ind w:end="-46"/>
        <w:jc w:val="both"/>
        <w:rPr>
          <w:rFonts w:ascii="Corbel" w:hAnsi="Corbel" w:cs="Arial"/>
          <w:sz w:val="22"/>
          <w:szCs w:val="22"/>
        </w:rPr>
      </w:pPr>
      <w:r>
        <w:rPr>
          <w:rFonts w:cs="Arial" w:ascii="Corbel" w:hAnsi="Corbel"/>
          <w:sz w:val="22"/>
          <w:szCs w:val="22"/>
        </w:rPr>
      </w:r>
    </w:p>
    <w:p>
      <w:pPr>
        <w:pStyle w:val="Normal"/>
        <w:keepNext/>
        <w:keepLines/>
        <w:ind w:end="-46"/>
        <w:jc w:val="both"/>
        <w:rPr>
          <w:rFonts w:ascii="Corbel" w:hAnsi="Corbel" w:cs="Arial"/>
          <w:sz w:val="22"/>
          <w:szCs w:val="22"/>
        </w:rPr>
      </w:pPr>
      <w:r>
        <w:rPr>
          <w:rFonts w:cs="Corbel" w:ascii="Corbel" w:hAnsi="Corbel"/>
          <w:sz w:val="22"/>
        </w:rPr>
        <w:t>Shareholders unable to attend this meeting in person may choose one of the following three options:</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send their proxy form to the Company, without indicating a representative;</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appoint as proxy another shareholder or their spouse or civil partner;</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vote by post.</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Shareholders who have already voted remotely, sent a proxy form or requested their admission card or shareholding certificate may transfer all or some of their shares at any time. However, should the transfer of ownership occur earlier than midnight (Paris time) five business days before the meeting, the Company shall amend or invalidate, as applicable, the remote vote, proxy form, admission card or shareholding certificate. To this end, the account-holding authorised intermediary gives notice of the transfer of ownership to the Company or to its representative and provides them with the necessary information.</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Proxy and postal voting forms are automatically mailed to pure or administered registered shareholders.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In compliance with the law, all documents that need to be communicated for this General Meeting shall be made available to shareholders, within the time frames established by law, at the </w:t>
      </w:r>
      <w:r>
        <w:rPr>
          <w:rFonts w:cs="Corbel" w:ascii="Corbel" w:hAnsi="Corbel"/>
          <w:b/>
          <w:sz w:val="22"/>
        </w:rPr>
        <w:t>H2O INVEST</w:t>
      </w:r>
      <w:r>
        <w:rPr>
          <w:rFonts w:cs="Corbel" w:ascii="Corbel" w:hAnsi="Corbel"/>
          <w:sz w:val="22"/>
        </w:rPr>
        <w:t xml:space="preserve"> registered office or transmitted upon request sent to Uptevia.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b/>
          <w:bCs/>
          <w:sz w:val="22"/>
          <w:szCs w:val="22"/>
        </w:rPr>
      </w:pPr>
      <w:r>
        <w:rPr>
          <w:rFonts w:cs="Corbel" w:ascii="Corbel" w:hAnsi="Corbel"/>
          <w:sz w:val="22"/>
        </w:rPr>
        <w:t xml:space="preserve">Proxy and postal voting forms will be sent to bearer shareholders on written request, received by registered post with notice of receipt, by </w:t>
      </w:r>
      <w:r>
        <w:rPr>
          <w:rFonts w:cs="Corbel" w:ascii="Corbel" w:hAnsi="Corbel"/>
          <w:b/>
          <w:sz w:val="22"/>
        </w:rPr>
        <w:t xml:space="preserve">Uptevia Service Assemblées Générales – 90</w:t>
        <w:noBreakHyphen/>
        <w:t xml:space="preserve">110 Esplanade du Général de Gaulle – 92931 Paris la Défense Cedex – France </w:t>
      </w:r>
      <w:r>
        <w:rPr>
          <w:rFonts w:cs="Corbel" w:ascii="Corbel" w:hAnsi="Corbel"/>
          <w:sz w:val="22"/>
        </w:rPr>
        <w:t>no later than five days before the meeting date.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b/>
          <w:bCs/>
          <w:sz w:val="22"/>
          <w:szCs w:val="22"/>
        </w:rPr>
      </w:pPr>
      <w:r>
        <w:rPr>
          <w:rFonts w:cs="Corbel" w:ascii="Corbel" w:hAnsi="Corbel"/>
          <w:sz w:val="22"/>
        </w:rPr>
        <w:t xml:space="preserve">Postal voting forms will be counted only if they are filled out in full, signed and received by </w:t>
      </w:r>
      <w:r>
        <w:rPr>
          <w:rFonts w:cs="Corbel" w:ascii="Corbel" w:hAnsi="Corbel"/>
          <w:b/>
          <w:sz w:val="22"/>
        </w:rPr>
        <w:t xml:space="preserve">Uptevia Service Assemblées Générales – 90</w:t>
        <w:noBreakHyphen/>
        <w:t xml:space="preserve">110 Esplanade du Général de Gaulle – 92931 Paris la Défense Cedex – France </w:t>
      </w:r>
      <w:r>
        <w:rPr>
          <w:rFonts w:cs="Corbel" w:ascii="Corbel" w:hAnsi="Corbel"/>
          <w:sz w:val="22"/>
        </w:rPr>
        <w:t>no later than two days before the meeting.</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sz w:val="22"/>
          <w:szCs w:val="22"/>
        </w:rPr>
      </w:pPr>
      <w:r>
        <w:rPr>
          <w:rFonts w:cs="Corbel" w:ascii="Corbel" w:hAnsi="Corbel"/>
          <w:sz w:val="22"/>
        </w:rPr>
        <w:t>Shareholders who have already voted remotely, sent a proxy form or requested their admission card or shareholding certificate are not entitled to attend the meeting in any other way, unless indicated otherwise in the articles of association.</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Shareholders may submit written questions to the Company as of the date of this document. These questions must be addressed to the Company’s registered office and sent by registered post with notice of receipt no later than four business days before the date of the General Meeting. They must include a share registration certificate.</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Arial" w:ascii="Corbel" w:hAnsi="Corbel"/>
          <w:sz w:val="22"/>
          <w:szCs w:val="22"/>
        </w:rPr>
      </w:r>
    </w:p>
    <w:p>
      <w:pPr>
        <w:pStyle w:val="Normal"/>
        <w:keepNext/>
        <w:keepLines/>
        <w:ind w:end="-46"/>
        <w:jc w:val="both"/>
        <w:rPr>
          <w:rFonts w:ascii="Corbel" w:hAnsi="Corbel" w:cs="Arial"/>
          <w:sz w:val="22"/>
          <w:szCs w:val="22"/>
          <w:lang w:val="en-US"/>
        </w:rPr>
      </w:pPr>
      <w:r>
        <w:rPr>
          <w:rFonts w:cs="Arial" w:ascii="Corbel" w:hAnsi="Corbel"/>
          <w:sz w:val="22"/>
          <w:szCs w:val="22"/>
          <w:lang w:val="en-US"/>
        </w:rPr>
        <w:t>The Key Information Documents (KIDs) and the Prospectus are available:</w:t>
      </w:r>
    </w:p>
    <w:p>
      <w:pPr>
        <w:pStyle w:val="Normal"/>
        <w:numPr>
          <w:ilvl w:val="0"/>
          <w:numId w:val="3"/>
        </w:numPr>
        <w:ind w:hanging="360" w:start="720" w:end="-46"/>
        <w:jc w:val="both"/>
        <w:rPr>
          <w:rFonts w:ascii="Corbel" w:hAnsi="Corbel" w:cs="Arial"/>
          <w:sz w:val="22"/>
          <w:szCs w:val="22"/>
          <w:lang w:val="en-US"/>
        </w:rPr>
      </w:pPr>
      <w:r>
        <w:rPr>
          <w:rFonts w:cs="Arial" w:ascii="Corbel" w:hAnsi="Corbel"/>
          <w:sz w:val="22"/>
          <w:szCs w:val="22"/>
          <w:lang w:val="en-US"/>
        </w:rPr>
        <w:t xml:space="preserve">at the registered office of H2O AM EUROPE: 39 Avenue Pierre 1er de Serbie, 75008 Paris, France, and on the following website: </w:t>
      </w:r>
      <w:hyperlink r:id="rId2">
        <w:r>
          <w:rPr>
            <w:rStyle w:val="Hyperlink"/>
            <w:rFonts w:cs="Arial" w:ascii="Corbel" w:hAnsi="Corbel"/>
            <w:sz w:val="22"/>
            <w:szCs w:val="22"/>
            <w:lang w:val="en-US"/>
          </w:rPr>
          <w:t>www.h2o-am.com</w:t>
        </w:r>
      </w:hyperlink>
      <w:r>
        <w:rPr>
          <w:rFonts w:cs="Arial" w:ascii="Corbel" w:hAnsi="Corbel"/>
          <w:sz w:val="22"/>
          <w:szCs w:val="22"/>
          <w:lang w:val="en-US"/>
        </w:rPr>
        <w:t>;</w:t>
      </w:r>
    </w:p>
    <w:p>
      <w:pPr>
        <w:pStyle w:val="Normal"/>
        <w:numPr>
          <w:ilvl w:val="0"/>
          <w:numId w:val="3"/>
        </w:numPr>
        <w:ind w:hanging="360" w:start="720" w:end="-46"/>
        <w:jc w:val="both"/>
        <w:rPr>
          <w:rFonts w:ascii="Corbel" w:hAnsi="Corbel" w:cs="Arial"/>
          <w:sz w:val="22"/>
          <w:szCs w:val="22"/>
          <w:lang w:val="en-US"/>
        </w:rPr>
      </w:pPr>
      <w:r>
        <w:rPr>
          <w:rFonts w:cs="Arial" w:ascii="Corbel" w:hAnsi="Corbel"/>
          <w:sz w:val="22"/>
          <w:szCs w:val="22"/>
          <w:lang w:val="en-US"/>
        </w:rPr>
        <w:t>from State Street Bank International GmbH – Milan Branch, with registered office at Via Ferrante Aporti 10, Milan, acting as Paying Agent for the Fund in Italy;</w:t>
      </w:r>
    </w:p>
    <w:p>
      <w:pPr>
        <w:pStyle w:val="Normal"/>
        <w:numPr>
          <w:ilvl w:val="0"/>
          <w:numId w:val="3"/>
        </w:numPr>
        <w:ind w:hanging="360" w:start="720" w:end="-46"/>
        <w:jc w:val="both"/>
        <w:rPr>
          <w:rFonts w:ascii="Corbel" w:hAnsi="Corbel" w:cs="Arial"/>
          <w:sz w:val="22"/>
          <w:szCs w:val="22"/>
          <w:lang w:val="en-US"/>
        </w:rPr>
      </w:pPr>
      <w:r>
        <w:rPr>
          <w:rFonts w:cs="Arial" w:ascii="Corbel" w:hAnsi="Corbel"/>
          <w:sz w:val="22"/>
          <w:szCs w:val="22"/>
          <w:lang w:val="en-US"/>
        </w:rPr>
        <w:t>from Allfunds Bank S.A.U., Milan Branch, with registered office at Via Bocchetto 6, 20123 Milan, acting as Paying Agent for the Fund in Italy;</w:t>
      </w:r>
    </w:p>
    <w:p>
      <w:pPr>
        <w:pStyle w:val="Normal"/>
        <w:numPr>
          <w:ilvl w:val="0"/>
          <w:numId w:val="3"/>
        </w:numPr>
        <w:ind w:hanging="360" w:start="720" w:end="-46"/>
        <w:jc w:val="both"/>
        <w:rPr>
          <w:rFonts w:ascii="Corbel" w:hAnsi="Corbel" w:cs="Arial"/>
          <w:sz w:val="22"/>
          <w:szCs w:val="22"/>
          <w:lang w:val="en-US"/>
        </w:rPr>
      </w:pPr>
      <w:r>
        <w:rPr>
          <w:rFonts w:cs="Arial" w:ascii="Corbel" w:hAnsi="Corbel"/>
          <w:sz w:val="22"/>
          <w:szCs w:val="22"/>
          <w:lang w:val="en-US"/>
        </w:rPr>
        <w:t>from Société Générale Securities Services S.p.A. (also referred to as SGSS), with registered office and headquarters at Via Benigno Crespi 19A - MAC 2, Milan, acting as Paying Agent for the Fund in Italy;</w:t>
      </w:r>
    </w:p>
    <w:p>
      <w:pPr>
        <w:pStyle w:val="Normal"/>
        <w:numPr>
          <w:ilvl w:val="0"/>
          <w:numId w:val="3"/>
        </w:numPr>
        <w:ind w:hanging="360" w:start="720" w:end="-46"/>
        <w:jc w:val="both"/>
        <w:rPr>
          <w:rFonts w:ascii="Corbel" w:hAnsi="Corbel" w:cs="Arial"/>
          <w:sz w:val="22"/>
          <w:szCs w:val="22"/>
          <w:lang w:val="en-US"/>
        </w:rPr>
      </w:pPr>
      <w:r>
        <w:rPr>
          <w:rFonts w:cs="Arial" w:ascii="Corbel" w:hAnsi="Corbel"/>
          <w:sz w:val="22"/>
          <w:szCs w:val="22"/>
          <w:lang w:val="en-US"/>
        </w:rPr>
        <w:t>from Banca Monte dei Paschi di Siena S.p.A., with registered office at Piazza Salimbeni 3, Siena, and operational office at Via Grossi 3, Mantua, acting as Paying Agent for the Fund in Italy;</w:t>
      </w:r>
    </w:p>
    <w:p>
      <w:pPr>
        <w:pStyle w:val="Normal"/>
        <w:numPr>
          <w:ilvl w:val="0"/>
          <w:numId w:val="3"/>
        </w:numPr>
        <w:ind w:hanging="360" w:start="720" w:end="-46"/>
        <w:jc w:val="both"/>
        <w:rPr>
          <w:rFonts w:ascii="Corbel" w:hAnsi="Corbel" w:cs="Arial"/>
          <w:sz w:val="22"/>
          <w:szCs w:val="22"/>
          <w:lang w:val="en-US"/>
        </w:rPr>
      </w:pPr>
      <w:r>
        <w:rPr>
          <w:rFonts w:cs="Arial" w:ascii="Corbel" w:hAnsi="Corbel"/>
          <w:sz w:val="22"/>
          <w:szCs w:val="22"/>
          <w:lang w:val="en-US"/>
        </w:rPr>
        <w:t>from Banca Sella Holding S.p.A., with registered office at Piazza Gaudenzio Sella 1, Biella;</w:t>
      </w:r>
    </w:p>
    <w:p>
      <w:pPr>
        <w:pStyle w:val="Normal"/>
        <w:numPr>
          <w:ilvl w:val="0"/>
          <w:numId w:val="3"/>
        </w:numPr>
        <w:ind w:hanging="360" w:start="720" w:end="-46"/>
        <w:jc w:val="both"/>
        <w:rPr>
          <w:rFonts w:ascii="Corbel" w:hAnsi="Corbel" w:cs="Arial"/>
          <w:sz w:val="22"/>
          <w:szCs w:val="22"/>
          <w:lang w:val="en-US"/>
        </w:rPr>
      </w:pPr>
      <w:r>
        <w:rPr>
          <w:rFonts w:cs="Arial" w:ascii="Corbel" w:hAnsi="Corbel"/>
          <w:sz w:val="22"/>
          <w:szCs w:val="22"/>
          <w:lang w:val="en-US"/>
        </w:rPr>
        <w:t xml:space="preserve">and from CACEIS Bank, Italy Branch, with registered office at 89</w:t>
        <w:noBreakHyphen/>
        <w:t xml:space="preserve">91 rue Gabriel Péri, 92120 Montrouge, France, and operational office at Piazza Cavour 2, 20121 Milan.</w:t>
      </w:r>
    </w:p>
    <w:p>
      <w:pPr>
        <w:pStyle w:val="Normal"/>
        <w:ind w:end="-46"/>
        <w:jc w:val="both"/>
        <w:rPr>
          <w:rFonts w:ascii="Corbel" w:hAnsi="Corbel" w:cs="Arial"/>
          <w:sz w:val="22"/>
          <w:szCs w:val="22"/>
          <w:lang w:val="en-US"/>
        </w:rPr>
      </w:pPr>
      <w:r>
        <w:rPr>
          <w:rFonts w:cs="Arial" w:ascii="Corbel" w:hAnsi="Corbel"/>
          <w:sz w:val="22"/>
          <w:szCs w:val="22"/>
          <w:lang w:val="en-US"/>
        </w:rPr>
      </w:r>
    </w:p>
    <w:p>
      <w:pPr>
        <w:pStyle w:val="Normal"/>
        <w:ind w:end="-46"/>
        <w:jc w:val="end"/>
        <w:rPr>
          <w:rFonts w:ascii="Corbel" w:hAnsi="Corbel" w:cs="Corbel"/>
          <w:sz w:val="22"/>
          <w:szCs w:val="22"/>
        </w:rPr>
      </w:pPr>
      <w:r>
        <w:rPr>
          <w:rFonts w:cs="Corbel" w:ascii="Corbel" w:hAnsi="Corbel"/>
          <w:sz w:val="22"/>
        </w:rPr>
        <w:t>The Chairman</w:t>
      </w:r>
    </w:p>
    <w:sectPr>
      <w:footerReference w:type="even" r:id="rId3"/>
      <w:footerReference w:type="default" r:id="rId4"/>
      <w:footerReference w:type="first" r:id="rId5"/>
      <w:type w:val="nextPage"/>
      <w:pgSz w:w="11906" w:h="16838"/>
      <w:pgMar w:left="1417" w:right="1417" w:gutter="0" w:header="0" w:top="851" w:footer="72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altName w:val="Times New Roman"/>
    <w:charset w:val="01" w:characterSet="utf-8"/>
    <w:family w:val="roman"/>
    <w:pitch w:val="variable"/>
  </w:font>
  <w:font w:name="Times New Roman">
    <w:charset w:val="01" w:characterSet="utf-8"/>
    <w:family w:val="roman"/>
    <w:pitch w:val="variable"/>
  </w:font>
  <w:font w:name="Times New Roman Gras">
    <w:altName w:val="Times New Roman"/>
    <w:charset w:val="01" w:characterSet="utf-8"/>
    <w:family w:val="roman"/>
    <w:pitch w:val="variable"/>
  </w:font>
  <w:font w:name="Arial">
    <w:charset w:val="01" w:characterSet="utf-8"/>
    <w:family w:val="roman"/>
    <w:pitch w:val="variable"/>
  </w:font>
  <w:font w:name="Symbol">
    <w:charset w:val="01" w:characterSet="utf-8"/>
    <w:family w:val="roman"/>
    <w:pitch w:val="variable"/>
  </w:font>
  <w:font w:name="Courier New">
    <w:charset w:val="01" w:characterSet="utf-8"/>
    <w:family w:val="roman"/>
    <w:pitch w:val="variable"/>
  </w:font>
  <w:font w:name="Wingdings">
    <w:charset w:val="01" w:characterSet="utf-8"/>
    <w:family w:val="roman"/>
    <w:pitch w:val="variable"/>
  </w:font>
  <w:font w:name="Webdings">
    <w:charset w:val="01" w:characterSet="utf-8"/>
    <w:family w:val="roman"/>
    <w:pitch w:val="variable"/>
  </w:font>
  <w:font w:name="Calibri">
    <w:charset w:val="01" w:characterSet="utf-8"/>
    <w:family w:val="roman"/>
    <w:pitch w:val="variable"/>
  </w:font>
  <w:font w:name="Times">
    <w:altName w:val="Times New Roman"/>
    <w:charset w:val="01" w:characterSet="utf-8"/>
    <w:family w:val="roman"/>
    <w:pitch w:val="variable"/>
  </w:font>
  <w:font w:name="Arial">
    <w:altName w:val="Arial"/>
    <w:charset w:val="01" w:characterSet="utf-8"/>
    <w:family w:val="roman"/>
    <w:pitch w:val="variable"/>
  </w:font>
  <w:font w:name="Arial MT">
    <w:charset w:val="01" w:characterSet="utf-8"/>
    <w:family w:val="roman"/>
    <w:pitch w:val="variable"/>
  </w:font>
  <w:font w:name="Letter Gothic">
    <w:altName w:val="Courier New"/>
    <w:charset w:val="01" w:characterSet="utf-8"/>
    <w:family w:val="roman"/>
    <w:pitch w:val="variable"/>
  </w:font>
  <w:font w:name="GillSans">
    <w:altName w:val="Calibri"/>
    <w:charset w:val="01" w:characterSet="utf-8"/>
    <w:family w:val="roman"/>
    <w:pitch w:val="variable"/>
  </w:font>
  <w:font w:name="Tahoma">
    <w:charset w:val="01" w:characterSet="utf-8"/>
    <w:family w:val="roman"/>
    <w:pitch w:val="variable"/>
  </w:font>
  <w:font w:name="Courier">
    <w:altName w:val="Courier New"/>
    <w:charset w:val="01" w:characterSet="utf-8"/>
    <w:family w:val="roman"/>
    <w:pitch w:val="variable"/>
  </w:font>
  <w:font w:name="Corbel">
    <w:charset w:val="01" w:characterSet="utf-8"/>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Webdings">
    <w:charset w:val="02"/>
    <w:family w:val="auto"/>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2"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4"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0" w:hanging="0"/>
      </w:pPr>
      <w:rPr/>
    </w:lvl>
    <w:lvl w:ilvl="1">
      <w:start w:val="1"/>
      <w:pStyle w:val="Heading2"/>
      <w:numFmt w:val="decimal"/>
      <w:lvlText w:val="%1.%2"/>
      <w:lvlJc w:val="start"/>
      <w:pPr>
        <w:tabs>
          <w:tab w:val="num" w:pos="0"/>
        </w:tabs>
        <w:ind w:start="0" w:hanging="0"/>
      </w:pPr>
      <w:rPr/>
    </w:lvl>
    <w:lvl w:ilvl="2">
      <w:start w:val="1"/>
      <w:pStyle w:val="Heading3"/>
      <w:numFmt w:val="decimal"/>
      <w:lvlText w:val="%1.%2.%3"/>
      <w:lvlJc w:val="start"/>
      <w:pPr>
        <w:tabs>
          <w:tab w:val="num" w:pos="0"/>
        </w:tabs>
        <w:ind w:start="0" w:hanging="0"/>
      </w:pPr>
      <w:rPr/>
    </w:lvl>
    <w:lvl w:ilvl="3">
      <w:start w:val="1"/>
      <w:numFmt w:val="decimal"/>
      <w:lvlText w:val="%1.%2.%3.%4"/>
      <w:lvlJc w:val="start"/>
      <w:pPr>
        <w:tabs>
          <w:tab w:val="num" w:pos="0"/>
        </w:tabs>
        <w:ind w:start="0" w:hanging="0"/>
      </w:pPr>
      <w:rPr/>
    </w:lvl>
    <w:lvl w:ilvl="4">
      <w:start w:val="1"/>
      <w:numFmt w:val="decimal"/>
      <w:lvlText w:val="%1.%2.%3.%4.%5"/>
      <w:lvlJc w:val="start"/>
      <w:pPr>
        <w:tabs>
          <w:tab w:val="num" w:pos="0"/>
        </w:tabs>
        <w:ind w:start="0" w:hanging="0"/>
      </w:pPr>
      <w:rPr/>
    </w:lvl>
    <w:lvl w:ilvl="5">
      <w:start w:val="1"/>
      <w:numFmt w:val="decimal"/>
      <w:lvlText w:val="%1.%2.%3.%4.%5.%6"/>
      <w:lvlJc w:val="start"/>
      <w:pPr>
        <w:tabs>
          <w:tab w:val="num" w:pos="0"/>
        </w:tabs>
        <w:ind w:start="0" w:hanging="0"/>
      </w:pPr>
      <w:rPr/>
    </w:lvl>
    <w:lvl w:ilvl="6">
      <w:start w:val="1"/>
      <w:numFmt w:val="decimal"/>
      <w:lvlText w:val="%1.%2.%3.%4.%5.%6.%7"/>
      <w:lvlJc w:val="start"/>
      <w:pPr>
        <w:tabs>
          <w:tab w:val="num" w:pos="0"/>
        </w:tabs>
        <w:ind w:start="0" w:hanging="0"/>
      </w:pPr>
      <w:rPr/>
    </w:lvl>
    <w:lvl w:ilvl="7">
      <w:start w:val="1"/>
      <w:numFmt w:val="decimal"/>
      <w:lvlText w:val="%1.%2.%3.%4.%5.%6.%7.%8"/>
      <w:lvlJc w:val="start"/>
      <w:pPr>
        <w:tabs>
          <w:tab w:val="num" w:pos="0"/>
        </w:tabs>
        <w:ind w:start="0" w:hanging="0"/>
      </w:pPr>
      <w:rPr/>
    </w:lvl>
    <w:lvl w:ilvl="8">
      <w:start w:val="1"/>
      <w:numFmt w:val="decimal"/>
      <w:lvlText w:val="%1.%2.%3.%4.%5.%6.%7.%8.%9"/>
      <w:lvlJc w:val="start"/>
      <w:pPr>
        <w:tabs>
          <w:tab w:val="num" w:pos="0"/>
        </w:tabs>
        <w:ind w:start="0" w:hanging="0"/>
      </w:pPr>
      <w:rPr/>
    </w:lvl>
  </w:abstractNum>
  <w:abstractNum w:abstractNumId="2">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720"/>
        </w:tabs>
        <w:ind w:start="720" w:hanging="360"/>
      </w:pPr>
      <w:rPr>
        <w:rFonts w:ascii="Arial" w:hAnsi="Arial" w:cs="Arial" w:hint="default"/>
        <w:sz w:val="24"/>
        <w:color w:val="00000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360"/>
        </w:tabs>
        <w:ind w:start="360" w:hanging="360"/>
      </w:pPr>
      <w:rPr>
        <w:rFonts w:ascii="Webdings" w:hAnsi="Webdings" w:cs="Web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bullet"/>
      <w:lvlText w:val=""/>
      <w:lvlJc w:val="start"/>
      <w:pPr>
        <w:tabs>
          <w:tab w:val="num" w:pos="360"/>
        </w:tabs>
        <w:ind w:start="36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
    <w:lvl w:ilvl="0">
      <w:start w:val="1"/>
      <w:numFmt w:val="decimal"/>
      <w:lvlText w:val="%1."/>
      <w:lvlJc w:val="start"/>
      <w:pPr>
        <w:tabs>
          <w:tab w:val="num" w:pos="720"/>
        </w:tabs>
        <w:ind w:start="720" w:hanging="720"/>
      </w:pPr>
      <w:rPr/>
    </w:lvl>
    <w:lvl w:ilvl="1">
      <w:start w:val="1"/>
      <w:numFmt w:val="decimal"/>
      <w:lvlText w:val="%2."/>
      <w:lvlJc w:val="start"/>
      <w:pPr>
        <w:tabs>
          <w:tab w:val="num" w:pos="1440"/>
        </w:tabs>
        <w:ind w:start="1440" w:hanging="720"/>
      </w:pPr>
      <w:rPr/>
    </w:lvl>
    <w:lvl w:ilvl="2">
      <w:start w:val="1"/>
      <w:numFmt w:val="decimal"/>
      <w:lvlText w:val="%3."/>
      <w:lvlJc w:val="start"/>
      <w:pPr>
        <w:tabs>
          <w:tab w:val="num" w:pos="2160"/>
        </w:tabs>
        <w:ind w:start="2160" w:hanging="720"/>
      </w:pPr>
      <w:rPr/>
    </w:lvl>
    <w:lvl w:ilvl="3">
      <w:start w:val="1"/>
      <w:numFmt w:val="decimal"/>
      <w:lvlText w:val="%4."/>
      <w:lvlJc w:val="start"/>
      <w:pPr>
        <w:tabs>
          <w:tab w:val="num" w:pos="2880"/>
        </w:tabs>
        <w:ind w:start="2880" w:hanging="720"/>
      </w:pPr>
      <w:rPr/>
    </w:lvl>
    <w:lvl w:ilvl="4">
      <w:start w:val="1"/>
      <w:numFmt w:val="decimal"/>
      <w:lvlText w:val="%5."/>
      <w:lvlJc w:val="start"/>
      <w:pPr>
        <w:tabs>
          <w:tab w:val="num" w:pos="3600"/>
        </w:tabs>
        <w:ind w:start="3600" w:hanging="720"/>
      </w:pPr>
      <w:rPr/>
    </w:lvl>
    <w:lvl w:ilvl="5">
      <w:start w:val="1"/>
      <w:numFmt w:val="decimal"/>
      <w:lvlText w:val="%6."/>
      <w:lvlJc w:val="start"/>
      <w:pPr>
        <w:tabs>
          <w:tab w:val="num" w:pos="4320"/>
        </w:tabs>
        <w:ind w:start="4320" w:hanging="720"/>
      </w:pPr>
      <w:rPr/>
    </w:lvl>
    <w:lvl w:ilvl="6">
      <w:start w:val="1"/>
      <w:numFmt w:val="decimal"/>
      <w:lvlText w:val="%7."/>
      <w:lvlJc w:val="start"/>
      <w:pPr>
        <w:tabs>
          <w:tab w:val="num" w:pos="5040"/>
        </w:tabs>
        <w:ind w:start="5040" w:hanging="720"/>
      </w:pPr>
      <w:rPr/>
    </w:lvl>
    <w:lvl w:ilvl="7">
      <w:start w:val="1"/>
      <w:numFmt w:val="decimal"/>
      <w:lvlText w:val="%8."/>
      <w:lvlJc w:val="start"/>
      <w:pPr>
        <w:tabs>
          <w:tab w:val="num" w:pos="5760"/>
        </w:tabs>
        <w:ind w:start="5760" w:hanging="720"/>
      </w:pPr>
      <w:rPr/>
    </w:lvl>
    <w:lvl w:ilvl="8">
      <w:start w:val="1"/>
      <w:numFmt w:val="decimal"/>
      <w:lvlText w:val="%9."/>
      <w:lvlJc w:val="start"/>
      <w:pPr>
        <w:tabs>
          <w:tab w:val="num" w:pos="6480"/>
        </w:tabs>
        <w:ind w:start="6480" w:hanging="720"/>
      </w:pPr>
      <w:rPr/>
    </w:lvl>
  </w:abstractNum>
  <w:abstractNum w:abstractNumId="12">
    <w:lvl w:ilvl="0">
      <w:numFmt w:val="bullet"/>
      <w:lvlText w:val=""/>
      <w:lvlJc w:val="start"/>
      <w:pPr>
        <w:tabs>
          <w:tab w:val="num" w:pos="283"/>
        </w:tabs>
        <w:ind w:start="283" w:hanging="283"/>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trackRevisions/>
  <w:defaultTabStop w:val="708"/>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n-GB" w:eastAsia="zh-CN" w:bidi="ar-SA"/>
    </w:rPr>
  </w:style>
  <w:style w:type="paragraph" w:styleId="Heading1">
    <w:name w:val="Heading 1"/>
    <w:basedOn w:val="Normal"/>
    <w:next w:val="Texte"/>
    <w:qFormat/>
    <w:pPr>
      <w:keepNext w:val="true"/>
      <w:numPr>
        <w:ilvl w:val="0"/>
        <w:numId w:val="1"/>
      </w:numPr>
      <w:spacing w:before="284" w:after="142"/>
      <w:jc w:val="both"/>
      <w:outlineLvl w:val="0"/>
    </w:pPr>
    <w:rPr>
      <w:rFonts w:ascii="Times New Roman Gras;Times New Roman" w:hAnsi="Times New Roman Gras;Times New Roman" w:cs="Times New Roman Gras;Times New Roman"/>
      <w:b/>
      <w:sz w:val="24"/>
    </w:rPr>
  </w:style>
  <w:style w:type="paragraph" w:styleId="Heading2">
    <w:name w:val="Heading 2"/>
    <w:basedOn w:val="Normal"/>
    <w:next w:val="Retrait0"/>
    <w:qFormat/>
    <w:pPr>
      <w:keepNext w:val="true"/>
      <w:numPr>
        <w:ilvl w:val="1"/>
        <w:numId w:val="1"/>
      </w:numPr>
      <w:spacing w:before="142" w:after="142"/>
      <w:ind w:hanging="0" w:start="284" w:end="0"/>
      <w:jc w:val="both"/>
      <w:outlineLvl w:val="1"/>
    </w:pPr>
    <w:rPr>
      <w:sz w:val="24"/>
    </w:rPr>
  </w:style>
  <w:style w:type="paragraph" w:styleId="Heading3">
    <w:name w:val="Heading 3"/>
    <w:basedOn w:val="Normal"/>
    <w:next w:val="Retrait1"/>
    <w:qFormat/>
    <w:pPr>
      <w:keepNext w:val="true"/>
      <w:numPr>
        <w:ilvl w:val="2"/>
        <w:numId w:val="1"/>
      </w:numPr>
      <w:spacing w:before="142" w:after="142"/>
      <w:ind w:hanging="0" w:start="567" w:end="0"/>
      <w:jc w:val="both"/>
      <w:outlineLvl w:val="2"/>
    </w:pPr>
    <w:rPr>
      <w:i/>
      <w:sz w:val="24"/>
    </w:rPr>
  </w:style>
  <w:style w:type="paragraph" w:styleId="Heading4">
    <w:name w:val="Heading 4"/>
    <w:basedOn w:val="Normal"/>
    <w:next w:val="Normal"/>
    <w:qFormat/>
    <w:pPr>
      <w:keepNext w:val="true"/>
      <w:jc w:val="both"/>
      <w:outlineLvl w:val="3"/>
    </w:pPr>
    <w:rPr>
      <w:b/>
      <w:sz w:val="22"/>
    </w:rPr>
  </w:style>
  <w:style w:type="paragraph" w:styleId="Heading5">
    <w:name w:val="Heading 5"/>
    <w:basedOn w:val="Normal"/>
    <w:next w:val="Normal"/>
    <w:qFormat/>
    <w:pPr>
      <w:keepNext w:val="true"/>
      <w:outlineLvl w:val="4"/>
    </w:pPr>
    <w:rPr>
      <w:rFonts w:ascii="Arial" w:hAnsi="Arial" w:cs="Arial"/>
      <w:b/>
      <w:sz w:val="22"/>
    </w:rPr>
  </w:style>
  <w:style w:type="paragraph" w:styleId="Heading6">
    <w:name w:val="Heading 6"/>
    <w:basedOn w:val="Normal"/>
    <w:next w:val="Normal"/>
    <w:qFormat/>
    <w:pPr>
      <w:keepNext w:val="true"/>
      <w:outlineLvl w:val="5"/>
    </w:pPr>
    <w:rPr>
      <w:sz w:val="24"/>
      <w:u w:val="single"/>
    </w:rPr>
  </w:style>
  <w:style w:type="paragraph" w:styleId="Heading7">
    <w:name w:val="Heading 7"/>
    <w:basedOn w:val="Normal"/>
    <w:next w:val="Normal"/>
    <w:qFormat/>
    <w:pPr>
      <w:keepNext w:val="true"/>
      <w:outlineLvl w:val="6"/>
    </w:pPr>
    <w:rPr>
      <w:i/>
      <w:u w:val="single"/>
    </w:rPr>
  </w:style>
  <w:style w:type="paragraph" w:styleId="Heading8">
    <w:name w:val="Heading 8"/>
    <w:basedOn w:val="Normal"/>
    <w:next w:val="Normal"/>
    <w:qFormat/>
    <w:pPr>
      <w:keepNext w:val="true"/>
      <w:outlineLvl w:val="7"/>
    </w:pPr>
    <w:rPr>
      <w:b/>
    </w:rPr>
  </w:style>
  <w:style w:type="paragraph" w:styleId="Heading9">
    <w:name w:val="Heading 9"/>
    <w:basedOn w:val="Normal"/>
    <w:next w:val="Normal"/>
    <w:qFormat/>
    <w:pPr>
      <w:keepNext w:val="true"/>
      <w:outlineLvl w:val="8"/>
    </w:pPr>
    <w:rPr>
      <w:u w:val="singl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rFonts w:ascii="Arial" w:hAnsi="Arial" w:cs="Arial"/>
      <w:color w:val="000000"/>
      <w:sz w:val="24"/>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style>
  <w:style w:type="character" w:styleId="WW8Num8z0">
    <w:name w:val="WW8Num8z0"/>
    <w:qFormat/>
    <w:rPr>
      <w:rFonts w:ascii="Symbol" w:hAnsi="Symbol" w:cs="Symbol"/>
    </w:rPr>
  </w:style>
  <w:style w:type="character" w:styleId="WW8Num10z0">
    <w:name w:val="WW8Num10z0"/>
    <w:qFormat/>
    <w:rPr>
      <w:rFonts w:ascii="Arial" w:hAnsi="Arial" w:eastAsia="Times New Roman" w:cs="Aria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rFonts w:ascii="Times New Roman" w:hAnsi="Times New Roman" w:cs="Times New Roman"/>
    </w:rPr>
  </w:style>
  <w:style w:type="character" w:styleId="WW8Num12z0">
    <w:name w:val="WW8Num12z0"/>
    <w:qFormat/>
    <w:rPr>
      <w:rFonts w:ascii="Webdings" w:hAnsi="Webdings" w:cs="Webdings"/>
    </w:rPr>
  </w:style>
  <w:style w:type="character" w:styleId="WW8Num14z0">
    <w:name w:val="WW8Num14z0"/>
    <w:qFormat/>
    <w:rPr>
      <w:rFonts w:ascii="Symbol" w:hAnsi="Symbol" w:cs="Symbol"/>
      <w:b w:val="false"/>
      <w:i w:val="false"/>
      <w:sz w:val="16"/>
    </w:rPr>
  </w:style>
  <w:style w:type="character" w:styleId="WW8Num15z0">
    <w:name w:val="WW8Num15z0"/>
    <w:qFormat/>
    <w:rPr>
      <w:rFonts w:ascii="Symbol" w:hAnsi="Symbol" w:cs="Symbol"/>
    </w:rPr>
  </w:style>
  <w:style w:type="character" w:styleId="WW8Num17z0">
    <w:name w:val="WW8Num17z0"/>
    <w:qFormat/>
    <w:rPr>
      <w:rFonts w:ascii="Symbol" w:hAnsi="Symbol" w:cs="Symbol"/>
    </w:rPr>
  </w:style>
  <w:style w:type="character" w:styleId="WW8Num18z0">
    <w:name w:val="WW8Num18z0"/>
    <w:qFormat/>
    <w:rPr>
      <w:rFonts w:ascii="Times New Roman" w:hAnsi="Times New Roman" w:cs="Times New Roman"/>
    </w:rPr>
  </w:style>
  <w:style w:type="character" w:styleId="WW8Num19z0">
    <w:name w:val="WW8Num19z0"/>
    <w:qFormat/>
    <w:rPr>
      <w:rFonts w:ascii="Symbol" w:hAnsi="Symbol" w:cs="Symbol"/>
      <w:sz w:val="16"/>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ascii="Wingdings" w:hAnsi="Wingdings" w:cs="Wingdings"/>
    </w:rPr>
  </w:style>
  <w:style w:type="character" w:styleId="WW8Num22z0">
    <w:name w:val="WW8Num22z0"/>
    <w:qFormat/>
    <w:rPr>
      <w:rFonts w:ascii="Wingdings" w:hAnsi="Wingdings" w:cs="Wingdings"/>
    </w:rPr>
  </w:style>
  <w:style w:type="character" w:styleId="WW8Num23z0">
    <w:name w:val="WW8Num23z0"/>
    <w:qFormat/>
    <w:rPr>
      <w:rFonts w:ascii="Symbol" w:hAnsi="Symbol" w:cs="Symbol"/>
      <w:color w:val="000000"/>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3z3">
    <w:name w:val="WW8Num23z3"/>
    <w:qFormat/>
    <w:rPr>
      <w:rFonts w:ascii="Symbol" w:hAnsi="Symbol" w:cs="Symbol"/>
    </w:rPr>
  </w:style>
  <w:style w:type="character" w:styleId="WW8Num24z0">
    <w:name w:val="WW8Num24z0"/>
    <w:qFormat/>
    <w:rPr>
      <w:rFonts w:ascii="Arial" w:hAnsi="Arial" w:eastAsia="Times New Roman" w:cs="Arial"/>
    </w:rPr>
  </w:style>
  <w:style w:type="character" w:styleId="WW8Num25z0">
    <w:name w:val="WW8Num25z0"/>
    <w:qFormat/>
    <w:rPr>
      <w:rFonts w:ascii="Times New Roman" w:hAnsi="Times New Roman" w:cs="Times New Roman"/>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ascii="Symbol" w:hAnsi="Symbol" w:cs="Symbol"/>
      <w:sz w:val="20"/>
    </w:rPr>
  </w:style>
  <w:style w:type="character" w:styleId="WW8Num29z1">
    <w:name w:val="WW8Num29z1"/>
    <w:qFormat/>
    <w:rPr>
      <w:rFonts w:ascii="Courier New" w:hAnsi="Courier New" w:cs="Courier New"/>
      <w:sz w:val="20"/>
    </w:rPr>
  </w:style>
  <w:style w:type="character" w:styleId="WW8Num29z2">
    <w:name w:val="WW8Num29z2"/>
    <w:qFormat/>
    <w:rPr>
      <w:rFonts w:ascii="Wingdings" w:hAnsi="Wingdings" w:cs="Wingdings"/>
      <w:sz w:val="20"/>
    </w:rPr>
  </w:style>
  <w:style w:type="character" w:styleId="WW8Num30z0">
    <w:name w:val="WW8Num30z0"/>
    <w:qFormat/>
    <w:rPr>
      <w:rFonts w:ascii="Calibri" w:hAnsi="Calibri" w:cs="Calibri"/>
      <w:sz w:val="20"/>
    </w:rPr>
  </w:style>
  <w:style w:type="character" w:styleId="WW8Num30z1">
    <w:name w:val="WW8Num30z1"/>
    <w:qFormat/>
    <w:rPr>
      <w:rFonts w:ascii="Courier New" w:hAnsi="Courier New" w:cs="Courier New"/>
      <w:sz w:val="20"/>
    </w:rPr>
  </w:style>
  <w:style w:type="character" w:styleId="WW8Num30z2">
    <w:name w:val="WW8Num30z2"/>
    <w:qFormat/>
    <w:rPr>
      <w:rFonts w:ascii="Wingdings" w:hAnsi="Wingdings" w:cs="Wingdings"/>
      <w:sz w:val="20"/>
    </w:rPr>
  </w:style>
  <w:style w:type="character" w:styleId="WW8Num31z0">
    <w:name w:val="WW8Num31z0"/>
    <w:qFormat/>
    <w:rPr>
      <w:rFonts w:ascii="Times New Roman" w:hAnsi="Times New Roman" w:eastAsia="Times New Roman" w:cs="Times New Roman"/>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1z3">
    <w:name w:val="WW8Num31z3"/>
    <w:qFormat/>
    <w:rPr>
      <w:rFonts w:ascii="Symbol" w:hAnsi="Symbol" w:cs="Symbol"/>
    </w:rPr>
  </w:style>
  <w:style w:type="character" w:styleId="WW8Num32z0">
    <w:name w:val="WW8Num32z0"/>
    <w:qFormat/>
    <w:rPr>
      <w:rFonts w:ascii="Arial" w:hAnsi="Arial" w:cs="Arial"/>
      <w:color w:val="000000"/>
      <w:sz w:val="24"/>
    </w:rPr>
  </w:style>
  <w:style w:type="character" w:styleId="WW8Num33z0">
    <w:name w:val="WW8Num33z0"/>
    <w:qFormat/>
    <w:rPr>
      <w:rFonts w:ascii="Symbol" w:hAnsi="Symbol" w:cs="Symbol"/>
      <w:sz w:val="16"/>
    </w:rPr>
  </w:style>
  <w:style w:type="character" w:styleId="WW8Num35z0">
    <w:name w:val="WW8Num35z0"/>
    <w:qFormat/>
    <w:rPr>
      <w:rFonts w:ascii="Symbol" w:hAnsi="Symbol" w:cs="Symbol"/>
      <w:color w:val="000000"/>
    </w:rPr>
  </w:style>
  <w:style w:type="character" w:styleId="WW8Num36z0">
    <w:name w:val="WW8Num36z0"/>
    <w:qFormat/>
    <w:rPr/>
  </w:style>
  <w:style w:type="character" w:styleId="WW8Num37z0">
    <w:name w:val="WW8Num37z0"/>
    <w:qFormat/>
    <w:rPr>
      <w:rFonts w:ascii="Times New Roman" w:hAnsi="Times New Roman" w:cs="Times New Roman"/>
    </w:rPr>
  </w:style>
  <w:style w:type="character" w:styleId="WW8Num38z0">
    <w:name w:val="WW8Num38z0"/>
    <w:qFormat/>
    <w:rPr>
      <w:rFonts w:ascii="Times New Roman" w:hAnsi="Times New Roman" w:cs="Times New Roman"/>
    </w:rPr>
  </w:style>
  <w:style w:type="character" w:styleId="WW8NumSt16z0">
    <w:name w:val="WW8NumSt16z0"/>
    <w:qFormat/>
    <w:rPr>
      <w:rFonts w:ascii="Times" w:hAnsi="Times" w:cs="Times"/>
      <w:sz w:val="24"/>
    </w:rPr>
  </w:style>
  <w:style w:type="character" w:styleId="WW8NumSt23z0">
    <w:name w:val="WW8NumSt23z0"/>
    <w:qFormat/>
    <w:rPr>
      <w:rFonts w:ascii="Symbol" w:hAnsi="Symbol" w:cs="Symbol"/>
    </w:rPr>
  </w:style>
  <w:style w:type="character" w:styleId="WW8NumSt36z0">
    <w:name w:val="WW8NumSt36z0"/>
    <w:qFormat/>
    <w:rPr>
      <w:rFonts w:ascii="Symbol" w:hAnsi="Symbol" w:cs="Symbol"/>
    </w:rPr>
  </w:style>
  <w:style w:type="character" w:styleId="WW8NumSt36z1">
    <w:name w:val="WW8NumSt36z1"/>
    <w:qFormat/>
    <w:rPr>
      <w:rFonts w:ascii="Courier New" w:hAnsi="Courier New" w:cs="Courier New"/>
    </w:rPr>
  </w:style>
  <w:style w:type="character" w:styleId="WW8NumSt36z2">
    <w:name w:val="WW8NumSt36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HeaderChar">
    <w:name w:val="Header Char"/>
    <w:qFormat/>
    <w:rPr/>
  </w:style>
  <w:style w:type="character" w:styleId="Hyperlink">
    <w:name w:val="Hyperlink"/>
    <w:rPr>
      <w:color w:val="0000FF"/>
      <w:u w:val="single"/>
    </w:rPr>
  </w:style>
  <w:style w:type="character" w:styleId="UnresolvedMention">
    <w:name w:val="Unresolved Mention"/>
    <w:qFormat/>
    <w:rPr>
      <w:color w:val="605E5C"/>
      <w:shd w:fill="E1DFDD" w:val="clear"/>
    </w:rPr>
  </w:style>
  <w:style w:type="character" w:styleId="LineNumber">
    <w:name w:val="Line Number"/>
    <w:rPr/>
  </w:style>
  <w:style w:type="paragraph" w:styleId="Heading">
    <w:name w:val="Heading"/>
    <w:basedOn w:val="Normal"/>
    <w:next w:val="BodyText"/>
    <w:qFormat/>
    <w:pPr>
      <w:keepNext w:val="true"/>
      <w:spacing w:before="240" w:after="120"/>
    </w:pPr>
    <w:rPr>
      <w:rFonts w:ascii="Arial" w:hAnsi="Arial" w:eastAsia="Arial" w:cs="Times New Roman"/>
      <w:sz w:val="28"/>
      <w:szCs w:val="28"/>
    </w:rPr>
  </w:style>
  <w:style w:type="paragraph" w:styleId="BodyText">
    <w:name w:val="Body Text"/>
    <w:basedOn w:val="Normal"/>
    <w:pPr>
      <w:spacing w:before="0" w:after="141"/>
      <w:jc w:val="both"/>
    </w:pPr>
    <w:rPr>
      <w:rFonts w:ascii="Arial MT" w:hAnsi="Arial MT" w:cs="Arial MT"/>
    </w:rPr>
  </w:style>
  <w:style w:type="paragraph" w:styleId="List">
    <w:name w:val="List"/>
    <w:basedOn w:val="BodyText"/>
    <w:pPr/>
    <w:rPr>
      <w:rFonts w:cs="Times New Roman"/>
    </w:rPr>
  </w:style>
  <w:style w:type="paragraph" w:styleId="Caption">
    <w:name w:val="Caption"/>
    <w:basedOn w:val="Normal"/>
    <w:qFormat/>
    <w:pPr>
      <w:suppressLineNumbers/>
      <w:spacing w:before="120" w:after="120"/>
    </w:pPr>
    <w:rPr>
      <w:rFonts w:cs="Times New Roman"/>
      <w:i/>
      <w:iCs/>
      <w:sz w:val="24"/>
      <w:szCs w:val="24"/>
    </w:rPr>
  </w:style>
  <w:style w:type="paragraph" w:styleId="Index">
    <w:name w:val="Index"/>
    <w:basedOn w:val="Normal"/>
    <w:qFormat/>
    <w:pPr>
      <w:suppressLineNumbers/>
    </w:pPr>
    <w:rPr>
      <w:rFonts w:cs="Times New Roman"/>
    </w:rPr>
  </w:style>
  <w:style w:type="paragraph" w:styleId="Liste1">
    <w:name w:val="Liste 1"/>
    <w:basedOn w:val="Normal"/>
    <w:qFormat/>
    <w:pPr>
      <w:numPr>
        <w:ilvl w:val="0"/>
        <w:numId w:val="0"/>
      </w:numPr>
      <w:spacing w:before="142" w:after="0"/>
      <w:ind w:hanging="283" w:start="567" w:end="0"/>
      <w:jc w:val="both"/>
    </w:pPr>
    <w:rPr>
      <w:sz w:val="24"/>
    </w:rPr>
  </w:style>
  <w:style w:type="paragraph" w:styleId="Listea">
    <w:name w:val="Liste a"/>
    <w:basedOn w:val="Liste1"/>
    <w:qFormat/>
    <w:pPr>
      <w:ind w:hanging="283" w:start="853" w:end="0"/>
    </w:pPr>
    <w:rPr/>
  </w:style>
  <w:style w:type="paragraph" w:styleId="Noms">
    <w:name w:val="Noms"/>
    <w:basedOn w:val="Normal"/>
    <w:qFormat/>
    <w:pPr>
      <w:keepLines/>
      <w:tabs>
        <w:tab w:val="clear" w:pos="708"/>
        <w:tab w:val="left" w:pos="360" w:leader="none"/>
        <w:tab w:val="left" w:pos="3402" w:leader="none"/>
        <w:tab w:val="left" w:pos="3686" w:leader="none"/>
        <w:tab w:val="left" w:pos="4536" w:leader="none"/>
        <w:tab w:val="left" w:pos="5670" w:leader="none"/>
        <w:tab w:val="left" w:pos="6804" w:leader="none"/>
        <w:tab w:val="left" w:pos="7938" w:leader="none"/>
      </w:tabs>
      <w:ind w:hanging="0" w:start="2778" w:end="0"/>
    </w:pPr>
    <w:rPr>
      <w:sz w:val="24"/>
    </w:rPr>
  </w:style>
  <w:style w:type="paragraph" w:styleId="Objet">
    <w:name w:val="Objet"/>
    <w:basedOn w:val="Normal"/>
    <w:qFormat/>
    <w:pPr/>
    <w:rPr>
      <w:sz w:val="24"/>
    </w:rPr>
  </w:style>
  <w:style w:type="paragraph" w:styleId="Puce">
    <w:name w:val="Puce"/>
    <w:basedOn w:val="Normal"/>
    <w:qFormat/>
    <w:pPr>
      <w:numPr>
        <w:ilvl w:val="0"/>
        <w:numId w:val="10"/>
      </w:numPr>
      <w:spacing w:before="142" w:after="0"/>
      <w:jc w:val="both"/>
    </w:pPr>
    <w:rPr>
      <w:sz w:val="24"/>
    </w:rPr>
  </w:style>
  <w:style w:type="paragraph" w:styleId="Pflche">
    <w:name w:val="P. flèche"/>
    <w:basedOn w:val="Puce"/>
    <w:qFormat/>
    <w:pPr>
      <w:numPr>
        <w:ilvl w:val="0"/>
        <w:numId w:val="8"/>
      </w:numPr>
    </w:pPr>
    <w:rPr/>
  </w:style>
  <w:style w:type="paragraph" w:styleId="Plosange">
    <w:name w:val="P. losange"/>
    <w:basedOn w:val="Puce"/>
    <w:qFormat/>
    <w:pPr>
      <w:numPr>
        <w:ilvl w:val="0"/>
        <w:numId w:val="5"/>
      </w:numPr>
    </w:pPr>
    <w:rPr/>
  </w:style>
  <w:style w:type="paragraph" w:styleId="Pmarque">
    <w:name w:val="P. marque"/>
    <w:basedOn w:val="Puce"/>
    <w:qFormat/>
    <w:pPr>
      <w:numPr>
        <w:ilvl w:val="0"/>
        <w:numId w:val="7"/>
      </w:numPr>
    </w:pPr>
    <w:rPr/>
  </w:style>
  <w:style w:type="paragraph" w:styleId="Ppoint">
    <w:name w:val="P. point"/>
    <w:basedOn w:val="Puce"/>
    <w:qFormat/>
    <w:pPr>
      <w:numPr>
        <w:ilvl w:val="0"/>
        <w:numId w:val="6"/>
      </w:numPr>
    </w:pPr>
    <w:rPr/>
  </w:style>
  <w:style w:type="paragraph" w:styleId="Ptiret">
    <w:name w:val="P. tiret"/>
    <w:basedOn w:val="Ppoint"/>
    <w:qFormat/>
    <w:pPr>
      <w:numPr>
        <w:ilvl w:val="0"/>
        <w:numId w:val="9"/>
      </w:numPr>
    </w:pPr>
    <w:rPr/>
  </w:style>
  <w:style w:type="paragraph" w:styleId="Ptriangle">
    <w:name w:val="P. triangle"/>
    <w:basedOn w:val="Puce"/>
    <w:qFormat/>
    <w:pPr>
      <w:numPr>
        <w:ilvl w:val="0"/>
        <w:numId w:val="4"/>
      </w:numPr>
    </w:pPr>
    <w:rPr/>
  </w:style>
  <w:style w:type="paragraph" w:styleId="Retrait0">
    <w:name w:val="Retrait 0"/>
    <w:basedOn w:val="Normal"/>
    <w:qFormat/>
    <w:pPr>
      <w:spacing w:before="142" w:after="0"/>
      <w:ind w:hanging="0" w:start="284" w:end="0"/>
      <w:jc w:val="both"/>
    </w:pPr>
    <w:rPr>
      <w:sz w:val="24"/>
    </w:rPr>
  </w:style>
  <w:style w:type="paragraph" w:styleId="Retrait1">
    <w:name w:val="Retrait 1"/>
    <w:basedOn w:val="Retrait0"/>
    <w:qFormat/>
    <w:pPr>
      <w:ind w:hanging="0" w:start="567" w:end="0"/>
    </w:pPr>
    <w:rPr/>
  </w:style>
  <w:style w:type="paragraph" w:styleId="Retrait2">
    <w:name w:val="Retrait 2"/>
    <w:basedOn w:val="Retrait1"/>
    <w:qFormat/>
    <w:pPr>
      <w:ind w:hanging="0" w:start="1559" w:end="0"/>
    </w:pPr>
    <w:rPr/>
  </w:style>
  <w:style w:type="paragraph" w:styleId="Retrait150">
    <w:name w:val="Retrait1.50"/>
    <w:basedOn w:val="Retrait1"/>
    <w:qFormat/>
    <w:pPr>
      <w:ind w:hanging="0" w:start="851" w:end="0"/>
    </w:pPr>
    <w:rPr/>
  </w:style>
  <w:style w:type="paragraph" w:styleId="Texte">
    <w:name w:val="Texte"/>
    <w:basedOn w:val="Normal"/>
    <w:qFormat/>
    <w:pPr>
      <w:keepLines/>
      <w:tabs>
        <w:tab w:val="clear" w:pos="708"/>
        <w:tab w:val="left" w:pos="426"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spacing w:before="141" w:after="0"/>
      <w:jc w:val="both"/>
    </w:pPr>
    <w:rPr>
      <w:sz w:val="24"/>
    </w:rPr>
  </w:style>
  <w:style w:type="paragraph" w:styleId="Textecran">
    <w:name w:val="Texte écran"/>
    <w:basedOn w:val="Normal"/>
    <w:qFormat/>
    <w:pPr>
      <w:ind w:firstLine="567" w:start="567" w:end="0"/>
    </w:pPr>
    <w:rPr>
      <w:rFonts w:ascii="Letter Gothic;Courier New" w:hAnsi="Letter Gothic;Courier New" w:cs="Letter Gothic;Courier New"/>
      <w:sz w:val="16"/>
    </w:rPr>
  </w:style>
  <w:style w:type="paragraph" w:styleId="Textetableau">
    <w:name w:val="Texte tableau"/>
    <w:basedOn w:val="Normal"/>
    <w:qFormat/>
    <w:pPr/>
    <w:rPr>
      <w:sz w:val="24"/>
    </w:rPr>
  </w:style>
  <w:style w:type="paragraph" w:styleId="Txtcompact">
    <w:name w:val="Txt compact"/>
    <w:basedOn w:val="Normal"/>
    <w:qFormat/>
    <w:pPr>
      <w:keepLines/>
      <w:tabs>
        <w:tab w:val="clear" w:pos="708"/>
        <w:tab w:val="left" w:pos="851"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ind w:firstLine="426" w:start="0" w:end="0"/>
      <w:jc w:val="both"/>
    </w:pPr>
    <w:rPr>
      <w:sz w:val="24"/>
    </w:rPr>
  </w:style>
  <w:style w:type="paragraph" w:styleId="tiret">
    <w:name w:val="tiret"/>
    <w:basedOn w:val="Normal"/>
    <w:qFormat/>
    <w:pPr>
      <w:numPr>
        <w:ilvl w:val="0"/>
        <w:numId w:val="0"/>
      </w:numPr>
      <w:spacing w:before="0" w:after="141"/>
      <w:ind w:hanging="0" w:start="0" w:end="0"/>
      <w:jc w:val="both"/>
    </w:pPr>
    <w:rPr>
      <w:rFonts w:ascii="Arial MT" w:hAnsi="Arial MT" w:cs="Arial MT"/>
      <w:lang w:val="en-GB"/>
    </w:rPr>
  </w:style>
  <w:style w:type="paragraph" w:styleId="Textepardfaut">
    <w:name w:val="Texte par défaut"/>
    <w:basedOn w:val="Normal"/>
    <w:qFormat/>
    <w:pPr/>
    <w:rPr>
      <w:sz w:val="24"/>
      <w:lang w:val="en-GB"/>
    </w:rPr>
  </w:style>
  <w:style w:type="paragraph" w:styleId="BodyText1">
    <w:name w:val="Body Text1"/>
    <w:basedOn w:val="Normal"/>
    <w:qFormat/>
    <w:pPr>
      <w:spacing w:before="0" w:after="141"/>
      <w:jc w:val="both"/>
    </w:pPr>
    <w:rPr>
      <w:sz w:val="24"/>
      <w:lang w:val="en-US" w:eastAsia="en-US"/>
    </w:rPr>
  </w:style>
  <w:style w:type="paragraph" w:styleId="BodyText2">
    <w:name w:val="Body Text 2"/>
    <w:basedOn w:val="Normal"/>
    <w:qFormat/>
    <w:pPr>
      <w:jc w:val="both"/>
    </w:pPr>
    <w:rPr>
      <w:rFonts w:ascii="Arial" w:hAnsi="Arial" w:cs="Arial"/>
    </w:rPr>
  </w:style>
  <w:style w:type="paragraph" w:styleId="WPBullets">
    <w:name w:val="WP Bullets"/>
    <w:basedOn w:val="Normal"/>
    <w:qFormat/>
    <w:pPr>
      <w:numPr>
        <w:ilvl w:val="0"/>
        <w:numId w:val="0"/>
      </w:numPr>
      <w:spacing w:before="0" w:after="141"/>
      <w:ind w:hanging="0" w:start="0" w:end="0"/>
      <w:jc w:val="both"/>
    </w:pPr>
    <w:rPr>
      <w:rFonts w:ascii="Arial MT" w:hAnsi="Arial MT" w:cs="Arial MT"/>
    </w:rPr>
  </w:style>
  <w:style w:type="paragraph" w:styleId="BodyText3">
    <w:name w:val="Body Text 3"/>
    <w:basedOn w:val="Normal"/>
    <w:qFormat/>
    <w:pPr>
      <w:jc w:val="both"/>
    </w:pPr>
    <w:rPr>
      <w:b/>
      <w:color w:val="800080"/>
      <w:sz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ARTICLEREGLEMENT">
    <w:name w:val="ARTICLE_REGLEMENT"/>
    <w:qFormat/>
    <w:pPr>
      <w:widowControl/>
      <w:numPr>
        <w:ilvl w:val="0"/>
        <w:numId w:val="11"/>
      </w:numPr>
      <w:suppressAutoHyphens w:val="true"/>
      <w:bidi w:val="0"/>
      <w:spacing w:before="120" w:after="60"/>
      <w:ind w:hanging="340" w:start="340" w:end="0"/>
      <w:jc w:val="center"/>
    </w:pPr>
    <w:rPr>
      <w:rFonts w:ascii="GillSans;Calibri" w:hAnsi="GillSans;Calibri" w:eastAsia="Times New Roman" w:cs="GillSans;Calibri"/>
      <w:b/>
      <w:color w:val="auto"/>
      <w:kern w:val="0"/>
      <w:sz w:val="22"/>
      <w:szCs w:val="20"/>
      <w:lang w:val="en-GB" w:eastAsia="zh-CN" w:bidi="ar-SA"/>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ourier New" w:hAnsi="Courier New" w:cs="Courier New"/>
    </w:rPr>
  </w:style>
  <w:style w:type="paragraph" w:styleId="Titre3Niveau111">
    <w:name w:val="Titre 3.Niveau 1 1 1"/>
    <w:basedOn w:val="Normal"/>
    <w:next w:val="Normal"/>
    <w:qFormat/>
    <w:pPr>
      <w:keepNext w:val="true"/>
      <w:spacing w:before="142" w:after="142"/>
      <w:jc w:val="center"/>
      <w:outlineLvl w:val="2"/>
    </w:pPr>
    <w:rPr>
      <w:b/>
      <w:sz w:val="24"/>
      <w:u w:val="single"/>
    </w:rPr>
  </w:style>
  <w:style w:type="paragraph" w:styleId="ssPara1">
    <w:name w:val="ssPara1"/>
    <w:basedOn w:val="Normal"/>
    <w:qFormat/>
    <w:pPr>
      <w:spacing w:lineRule="atLeast" w:line="260" w:before="0" w:after="260"/>
      <w:jc w:val="both"/>
    </w:pPr>
    <w:rPr>
      <w:rFonts w:ascii="Arial" w:hAnsi="Arial" w:cs="Arial"/>
      <w:sz w:val="22"/>
      <w:szCs w:val="22"/>
      <w:lang w:val="en-GB"/>
    </w:rPr>
  </w:style>
  <w:style w:type="paragraph" w:styleId="tabulationadresse">
    <w:name w:val="tabulation adresse"/>
    <w:qFormat/>
    <w:pPr>
      <w:widowControl/>
      <w:tabs>
        <w:tab w:val="clear" w:pos="708"/>
        <w:tab w:val="left" w:pos="-23" w:leader="none"/>
        <w:tab w:val="left" w:pos="4729" w:leader="none"/>
        <w:tab w:val="left" w:pos="4933" w:leader="none"/>
        <w:tab w:val="left" w:pos="5641" w:leader="none"/>
        <w:tab w:val="left" w:pos="6349" w:leader="none"/>
        <w:tab w:val="left" w:pos="7057" w:leader="none"/>
        <w:tab w:val="left" w:pos="7765" w:leader="none"/>
        <w:tab w:val="left" w:pos="8473" w:leader="none"/>
      </w:tabs>
      <w:suppressAutoHyphens w:val="true"/>
      <w:bidi w:val="0"/>
      <w:spacing w:before="0" w:after="0"/>
      <w:jc w:val="start"/>
    </w:pPr>
    <w:rPr>
      <w:rFonts w:ascii="Courier" w:hAnsi="Courier" w:eastAsia="Times New Roman" w:cs="Courier"/>
      <w:color w:val="auto"/>
      <w:kern w:val="0"/>
      <w:sz w:val="24"/>
      <w:szCs w:val="20"/>
      <w:lang w:val="en-GB" w:eastAsia="zh-CN" w:bidi="ar-SA"/>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Default">
    <w:name w:val="Default"/>
    <w:qFormat/>
    <w:pPr>
      <w:widowControl/>
      <w:suppressAutoHyphens w:val="true"/>
      <w:bidi w:val="0"/>
      <w:spacing w:before="0" w:after="0"/>
      <w:jc w:val="start"/>
    </w:pPr>
    <w:rPr>
      <w:rFonts w:ascii="Arial" w:hAnsi="Arial" w:eastAsia="Times New Roman" w:cs="Arial"/>
      <w:color w:val="000000"/>
      <w:kern w:val="0"/>
      <w:sz w:val="24"/>
      <w:szCs w:val="24"/>
      <w:lang w:val="en-GB" w:eastAsia="zh-CN" w:bidi="ar-SA"/>
    </w:rPr>
  </w:style>
  <w:style w:type="paragraph" w:styleId="ListParagraph">
    <w:name w:val="List Paragraph"/>
    <w:basedOn w:val="Normal"/>
    <w:qFormat/>
    <w:pPr>
      <w:ind w:hanging="0" w:start="708" w:end="0"/>
    </w:pPr>
    <w:rPr/>
  </w:style>
  <w:style w:type="paragraph" w:styleId="Revision">
    <w:name w:val="Revisio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n-GB" w:eastAsia="zh-CN" w:bidi="ar-SA"/>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h2o-am.com/"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3</Pages>
  <Words>804</Words>
  <Characters>4271</Characters>
  <CharactersWithSpaces>5042</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2024-09-12T14:09:00Z</dcterms:created>
  <dc:creator>C.C.B.P.</dc:creator>
  <dc:description/>
  <dc:language>en-US</dc:language>
  <cp:lastModifiedBy/>
  <cp:lastPrinted>2026-09-25T11:09:00Z</cp:lastPrinted>
  <dcterms:modified xsi:type="dcterms:W3CDTF">2026-09-28T07:46:52Z</dcterms:modified>
  <cp:revision>14</cp:revision>
  <dc:subject/>
  <dc:title>CONVERTIBLE BOND EUROPE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83a6fe-0b6e-4399-9d09-a1c8d8d5000c_Application">
    <vt:lpwstr>Microsoft Azure Information Protection</vt:lpwstr>
  </property>
  <property fmtid="{D5CDD505-2E9C-101B-9397-08002B2CF9AE}" pid="3" name="MSIP_Label_6e83a6fe-0b6e-4399-9d09-a1c8d8d5000c_Enabled">
    <vt:lpwstr>True</vt:lpwstr>
  </property>
  <property fmtid="{D5CDD505-2E9C-101B-9397-08002B2CF9AE}" pid="4" name="MSIP_Label_6e83a6fe-0b6e-4399-9d09-a1c8d8d5000c_Extended_MSFT_Method">
    <vt:lpwstr>Automatic</vt:lpwstr>
  </property>
  <property fmtid="{D5CDD505-2E9C-101B-9397-08002B2CF9AE}" pid="5" name="MSIP_Label_6e83a6fe-0b6e-4399-9d09-a1c8d8d5000c_Name">
    <vt:lpwstr>C1 - Public Natixis</vt:lpwstr>
  </property>
  <property fmtid="{D5CDD505-2E9C-101B-9397-08002B2CF9AE}" pid="6" name="MSIP_Label_6e83a6fe-0b6e-4399-9d09-a1c8d8d5000c_Owner">
    <vt:lpwstr>sfethi@cib.net</vt:lpwstr>
  </property>
  <property fmtid="{D5CDD505-2E9C-101B-9397-08002B2CF9AE}" pid="7" name="MSIP_Label_6e83a6fe-0b6e-4399-9d09-a1c8d8d5000c_SetDate">
    <vt:lpwstr>2019-03-04T10:58:07.5225416Z</vt:lpwstr>
  </property>
  <property fmtid="{D5CDD505-2E9C-101B-9397-08002B2CF9AE}" pid="8" name="MSIP_Label_6e83a6fe-0b6e-4399-9d09-a1c8d8d5000c_SiteId">
    <vt:lpwstr>d5bb6d35-8a82-4329-b49a-5030bd6497ab</vt:lpwstr>
  </property>
  <property fmtid="{D5CDD505-2E9C-101B-9397-08002B2CF9AE}" pid="9" name="Sensitivity">
    <vt:lpwstr>C1 - Public Natixis</vt:lpwstr>
  </property>
</Properties>
</file>