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numbering.xml" ContentType="application/vnd.openxmlformats-officedocument.wordprocessingml.numbering+xml"/>
  <Override PartName="/word/fontTable.xml" ContentType="application/vnd.openxmlformats-officedocument.wordprocessingml.fontTable+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center"/>
        <w:rPr>
          <w:rFonts w:ascii="Corbel" w:hAnsi="Corbel" w:cs="Arial"/>
          <w:b/>
          <w:caps/>
          <w:sz w:val="22"/>
          <w:szCs w:val="22"/>
        </w:rPr>
      </w:pPr>
      <w:r>
        <w:rPr>
          <w:rFonts w:cs="Corbel" w:ascii="Corbel" w:hAnsi="Corbel"/>
          <w:b/>
          <w:caps/>
          <w:sz w:val="22"/>
        </w:rPr>
        <w:t>H2O INVEST</w:t>
      </w:r>
    </w:p>
    <w:p>
      <w:pPr>
        <w:pStyle w:val="Normal"/>
        <w:jc w:val="center"/>
        <w:rPr>
          <w:rFonts w:ascii="Corbel" w:hAnsi="Corbel" w:cs="Arial"/>
        </w:rPr>
      </w:pPr>
      <w:r>
        <w:rPr>
          <w:rFonts w:cs="Corbel" w:ascii="Corbel" w:hAnsi="Corbel"/>
        </w:rPr>
        <w:t>An open-ended investment company governed by French law in the form of a simplified joint stock company (</w:t>
      </w:r>
      <w:r>
        <w:rPr>
          <w:rFonts w:cs="Corbel" w:ascii="Corbel" w:hAnsi="Corbel"/>
          <w:i/>
          <w:iCs/>
        </w:rPr>
        <w:t>société par actions simplifiée</w:t>
      </w:r>
      <w:r>
        <w:rPr>
          <w:rFonts w:cs="Corbel" w:ascii="Corbel" w:hAnsi="Corbel"/>
        </w:rPr>
        <w:t xml:space="preserve"> – SAS) with an initial share capital of €9,163,641.46</w:t>
        <w:br/>
        <w:t>Registered office: 39 Avenue Pierre 1</w:t>
      </w:r>
      <w:r>
        <w:rPr>
          <w:rFonts w:cs="Corbel" w:ascii="Corbel" w:hAnsi="Corbel"/>
          <w:vertAlign w:val="superscript"/>
        </w:rPr>
        <w:t>er</w:t>
      </w:r>
      <w:r>
        <w:rPr>
          <w:rFonts w:cs="Corbel" w:ascii="Corbel" w:hAnsi="Corbel"/>
        </w:rPr>
        <w:t xml:space="preserve"> de Serbie – 75008 Paris, France</w:t>
        <w:br/>
        <w:t>Paris Trade and Companies Register (RCS) No.</w:t>
      </w:r>
      <w:r>
        <w:rPr>
          <w:rFonts w:cs="Corbel" w:ascii="Corbel" w:hAnsi="Corbel"/>
          <w:color w:val="000000"/>
        </w:rPr>
        <w:t xml:space="preserve"> </w:t>
      </w:r>
      <w:r>
        <w:rPr>
          <w:rFonts w:cs="Corbel" w:ascii="Corbel" w:hAnsi="Corbel"/>
        </w:rPr>
        <w:t>532 900 081</w:t>
      </w:r>
    </w:p>
    <w:p>
      <w:pPr>
        <w:pStyle w:val="BodyText"/>
        <w:rPr>
          <w:rFonts w:ascii="Corbel" w:hAnsi="Corbel" w:cs="Corbel"/>
        </w:rPr>
      </w:pPr>
      <w:r>
        <w:rPr>
          <w:rFonts w:cs="Corbel" w:ascii="Corbel" w:hAnsi="Corbel"/>
        </w:rPr>
      </w:r>
    </w:p>
    <w:p>
      <w:pPr>
        <w:pStyle w:val="BodyText"/>
        <w:keepNext/>
        <w:keepLines/>
        <w:spacing w:before="0" w:after="0"/>
        <w:jc w:val="center"/>
        <w:rPr>
          <w:rFonts w:ascii="Corbel" w:hAnsi="Corbel" w:cs="Arial"/>
          <w:b/>
          <w:u w:val="single"/>
        </w:rPr>
      </w:pPr>
      <w:r>
        <w:rPr>
          <w:rFonts w:cs="Corbel" w:ascii="Corbel" w:hAnsi="Corbel"/>
          <w:b/>
          <w:u w:val="single"/>
        </w:rPr>
        <w:t>NOTICE OF MEETING</w:t>
      </w:r>
    </w:p>
    <w:p>
      <w:pPr>
        <w:pStyle w:val="Normal"/>
        <w:keepNext/>
        <w:tabs>
          <w:tab w:val="left" w:pos="0" w:leader="none"/>
          <w:tab w:val="left" w:pos="504" w:leader="none"/>
          <w:tab w:val="left" w:pos="708" w:leader="none"/>
          <w:tab w:val="left" w:pos="1416" w:leader="none"/>
          <w:tab w:val="left" w:pos="2124" w:leader="none"/>
          <w:tab w:val="left" w:pos="2832" w:leader="none"/>
          <w:tab w:val="left" w:pos="3540" w:leader="none"/>
          <w:tab w:val="left" w:pos="4248" w:leader="none"/>
          <w:tab w:val="left" w:pos="4956" w:leader="none"/>
          <w:tab w:val="left" w:pos="5664" w:leader="none"/>
          <w:tab w:val="left" w:pos="6372" w:leader="none"/>
          <w:tab w:val="left" w:pos="7080" w:leader="none"/>
          <w:tab w:val="left" w:pos="7788" w:leader="none"/>
          <w:tab w:val="left" w:pos="8496" w:leader="none"/>
        </w:tabs>
        <w:suppressAutoHyphens w:val="true"/>
        <w:spacing w:lineRule="exact" w:line="240"/>
        <w:jc w:val="both"/>
        <w:rPr>
          <w:rFonts w:ascii="Corbel" w:hAnsi="Corbel" w:cs="Corbel"/>
          <w:b/>
          <w:u w:val="single"/>
        </w:rPr>
      </w:pPr>
      <w:r>
        <w:rPr>
          <w:rFonts w:cs="Corbel" w:ascii="Corbel" w:hAnsi="Corbel"/>
          <w:b/>
          <w:u w:val="single"/>
        </w:rPr>
      </w:r>
    </w:p>
    <w:p>
      <w:pPr>
        <w:pStyle w:val="Normal"/>
        <w:ind w:end="-143"/>
        <w:jc w:val="both"/>
        <w:rPr>
          <w:rFonts w:ascii="Corbel" w:hAnsi="Corbel" w:cs="Arial"/>
          <w:spacing w:val="-2"/>
        </w:rPr>
      </w:pPr>
      <w:r>
        <w:rPr>
          <w:rFonts w:cs="Corbel" w:ascii="Corbel" w:hAnsi="Corbel"/>
        </w:rPr>
        <w:t xml:space="preserve">The Company’s shareholders are hereby notified of an Annual Ordinary General Meeting taking place on 30 October 2026 </w:t>
      </w:r>
    </w:p>
    <w:p>
      <w:pPr>
        <w:pStyle w:val="Normal"/>
        <w:keepNext/>
        <w:keepLines/>
        <w:ind w:end="-143"/>
        <w:jc w:val="both"/>
        <w:rPr>
          <w:rFonts w:ascii="Corbel" w:hAnsi="Corbel" w:cs="Arial"/>
        </w:rPr>
      </w:pPr>
      <w:r>
        <w:rPr>
          <w:rFonts w:cs="Corbel" w:ascii="Corbel" w:hAnsi="Corbel"/>
        </w:rPr>
        <w:t>at 10:00 a.m., in order to deliberate the agenda below:</w:t>
      </w:r>
    </w:p>
    <w:p>
      <w:pPr>
        <w:pStyle w:val="Normal"/>
        <w:keepNext/>
        <w:ind w:end="-46"/>
        <w:jc w:val="both"/>
        <w:rPr>
          <w:rFonts w:ascii="Corbel" w:hAnsi="Corbel" w:cs="Arial"/>
        </w:rPr>
      </w:pPr>
      <w:r>
        <w:rPr>
          <w:rFonts w:cs="Arial" w:ascii="Corbel" w:hAnsi="Corbel"/>
        </w:rPr>
      </w:r>
    </w:p>
    <w:p>
      <w:pPr>
        <w:pStyle w:val="Normal"/>
        <w:keepNext/>
        <w:keepLines/>
        <w:tabs>
          <w:tab w:val="left" w:pos="0" w:leader="none"/>
          <w:tab w:val="left" w:pos="504" w:leader="none"/>
          <w:tab w:val="left" w:pos="708" w:leader="none"/>
          <w:tab w:val="left" w:pos="1416" w:leader="none"/>
          <w:tab w:val="left" w:pos="2124" w:leader="none"/>
          <w:tab w:val="left" w:pos="2832" w:leader="none"/>
          <w:tab w:val="left" w:pos="3540" w:leader="none"/>
          <w:tab w:val="left" w:pos="4248" w:leader="none"/>
          <w:tab w:val="left" w:pos="4956" w:leader="none"/>
          <w:tab w:val="left" w:pos="5664" w:leader="none"/>
          <w:tab w:val="left" w:pos="6372" w:leader="none"/>
          <w:tab w:val="left" w:pos="7080" w:leader="none"/>
          <w:tab w:val="left" w:pos="7788" w:leader="none"/>
          <w:tab w:val="left" w:pos="8496" w:leader="none"/>
        </w:tabs>
        <w:suppressAutoHyphens w:val="true"/>
        <w:spacing w:lineRule="exact" w:line="240"/>
        <w:jc w:val="center"/>
        <w:rPr>
          <w:rFonts w:ascii="Corbel" w:hAnsi="Corbel" w:cs="Arial"/>
          <w:b/>
          <w:bCs/>
          <w:iCs/>
          <w:u w:val="single"/>
        </w:rPr>
      </w:pPr>
      <w:r>
        <w:rPr>
          <w:rFonts w:cs="Corbel" w:ascii="Corbel" w:hAnsi="Corbel"/>
          <w:b/>
          <w:u w:val="single"/>
        </w:rPr>
        <w:t>AGENDA</w:t>
      </w:r>
    </w:p>
    <w:p>
      <w:pPr>
        <w:pStyle w:val="Normal"/>
        <w:keepNext/>
        <w:tabs>
          <w:tab w:val="left" w:pos="0" w:leader="none"/>
          <w:tab w:val="left" w:pos="504" w:leader="none"/>
          <w:tab w:val="left" w:pos="708" w:leader="none"/>
          <w:tab w:val="left" w:pos="1416" w:leader="none"/>
          <w:tab w:val="left" w:pos="2124" w:leader="none"/>
          <w:tab w:val="left" w:pos="2832" w:leader="none"/>
          <w:tab w:val="left" w:pos="3540" w:leader="none"/>
          <w:tab w:val="left" w:pos="4248" w:leader="none"/>
          <w:tab w:val="left" w:pos="4956" w:leader="none"/>
          <w:tab w:val="left" w:pos="5664" w:leader="none"/>
          <w:tab w:val="left" w:pos="6372" w:leader="none"/>
          <w:tab w:val="left" w:pos="7080" w:leader="none"/>
          <w:tab w:val="left" w:pos="7788" w:leader="none"/>
          <w:tab w:val="left" w:pos="8496" w:leader="none"/>
        </w:tabs>
        <w:suppressAutoHyphens w:val="true"/>
        <w:spacing w:lineRule="exact" w:line="240"/>
        <w:jc w:val="both"/>
        <w:rPr>
          <w:rFonts w:ascii="Corbel" w:hAnsi="Corbel" w:cs="Arial"/>
          <w:b/>
          <w:bCs/>
          <w:iCs/>
          <w:spacing w:val="-3"/>
          <w:u w:val="single"/>
        </w:rPr>
      </w:pPr>
      <w:r>
        <w:rPr>
          <w:rFonts w:cs="Arial" w:ascii="Corbel" w:hAnsi="Corbel"/>
          <w:b/>
          <w:bCs/>
          <w:iCs/>
          <w:spacing w:val="-3"/>
          <w:u w:val="single"/>
        </w:rPr>
      </w:r>
    </w:p>
    <w:p>
      <w:pPr>
        <w:pStyle w:val="Normal"/>
        <w:keepNext/>
        <w:tabs>
          <w:tab w:val="left" w:pos="0" w:leader="none"/>
          <w:tab w:val="left" w:pos="504" w:leader="none"/>
          <w:tab w:val="left" w:pos="708" w:leader="none"/>
          <w:tab w:val="left" w:pos="1416" w:leader="none"/>
          <w:tab w:val="left" w:pos="2124" w:leader="none"/>
          <w:tab w:val="left" w:pos="2832" w:leader="none"/>
          <w:tab w:val="left" w:pos="3540" w:leader="none"/>
          <w:tab w:val="left" w:pos="4248" w:leader="none"/>
          <w:tab w:val="left" w:pos="4956" w:leader="none"/>
          <w:tab w:val="left" w:pos="5664" w:leader="none"/>
          <w:tab w:val="left" w:pos="6372" w:leader="none"/>
          <w:tab w:val="left" w:pos="7080" w:leader="none"/>
          <w:tab w:val="left" w:pos="7788" w:leader="none"/>
          <w:tab w:val="left" w:pos="8496" w:leader="none"/>
        </w:tabs>
        <w:suppressAutoHyphens w:val="true"/>
        <w:spacing w:lineRule="exact" w:line="240"/>
        <w:jc w:val="both"/>
        <w:rPr>
          <w:rFonts w:ascii="Corbel" w:hAnsi="Corbel" w:cs="Arial"/>
          <w:spacing w:val="-3"/>
        </w:rPr>
      </w:pPr>
      <w:r>
        <w:rPr>
          <w:rFonts w:cs="Arial" w:ascii="Corbel" w:hAnsi="Corbel"/>
          <w:spacing w:val="-3"/>
        </w:rPr>
      </w:r>
    </w:p>
    <w:p>
      <w:pPr>
        <w:pStyle w:val="Normal"/>
        <w:numPr>
          <w:ilvl w:val="0"/>
          <w:numId w:val="11"/>
        </w:numPr>
        <w:tabs>
          <w:tab w:val="clear" w:pos="708"/>
          <w:tab w:val="left" w:pos="0" w:leader="none"/>
          <w:tab w:val="left" w:pos="317" w:leader="none"/>
          <w:tab w:val="left" w:pos="1392" w:leader="none"/>
          <w:tab w:val="left" w:pos="1678" w:leader="none"/>
          <w:tab w:val="left" w:pos="2160" w:leader="none"/>
        </w:tabs>
        <w:suppressAutoHyphens w:val="true"/>
        <w:spacing w:lineRule="atLeast" w:line="240"/>
        <w:ind w:hanging="284" w:start="284" w:end="0"/>
        <w:jc w:val="both"/>
        <w:rPr>
          <w:rFonts w:ascii="Corbel" w:hAnsi="Corbel" w:cs="Arial"/>
          <w:spacing w:val="-2"/>
        </w:rPr>
      </w:pPr>
      <w:r>
        <w:rPr>
          <w:rFonts w:cs="Corbel" w:ascii="Corbel" w:hAnsi="Corbel"/>
        </w:rPr>
        <w:t>Reading of the Chairman and Statutory Auditor’s reports on the financial statements for the financial year ended 30 June 2026;</w:t>
      </w:r>
    </w:p>
    <w:p>
      <w:pPr>
        <w:pStyle w:val="Normal"/>
        <w:numPr>
          <w:ilvl w:val="0"/>
          <w:numId w:val="11"/>
        </w:numPr>
        <w:tabs>
          <w:tab w:val="clear" w:pos="708"/>
          <w:tab w:val="left" w:pos="0" w:leader="none"/>
          <w:tab w:val="left" w:pos="317" w:leader="none"/>
          <w:tab w:val="left" w:pos="1392" w:leader="none"/>
          <w:tab w:val="left" w:pos="1678" w:leader="none"/>
          <w:tab w:val="left" w:pos="2160" w:leader="none"/>
        </w:tabs>
        <w:suppressAutoHyphens w:val="true"/>
        <w:spacing w:lineRule="atLeast" w:line="240"/>
        <w:ind w:hanging="284" w:start="284" w:end="0"/>
        <w:jc w:val="both"/>
        <w:rPr>
          <w:rFonts w:ascii="Corbel" w:hAnsi="Corbel" w:cs="Arial"/>
          <w:spacing w:val="-2"/>
        </w:rPr>
      </w:pPr>
      <w:r>
        <w:rPr>
          <w:rFonts w:cs="Corbel" w:ascii="Corbel" w:hAnsi="Corbel"/>
        </w:rPr>
        <w:t xml:space="preserve">Reading of the Statutory Auditor’s special report on the agreements referred to in Article </w:t>
        <w:t xml:space="preserve">L. 227</w:t>
        <w:noBreakHyphen/>
        <w:t xml:space="preserve">10 of the French Commercial Code;</w:t>
      </w:r>
    </w:p>
    <w:p>
      <w:pPr>
        <w:pStyle w:val="Normal"/>
        <w:numPr>
          <w:ilvl w:val="0"/>
          <w:numId w:val="11"/>
        </w:numPr>
        <w:tabs>
          <w:tab w:val="clear" w:pos="708"/>
          <w:tab w:val="left" w:pos="0" w:leader="none"/>
          <w:tab w:val="left" w:pos="317" w:leader="none"/>
          <w:tab w:val="left" w:pos="1392" w:leader="none"/>
          <w:tab w:val="left" w:pos="1678" w:leader="none"/>
          <w:tab w:val="left" w:pos="2160" w:leader="none"/>
        </w:tabs>
        <w:suppressAutoHyphens w:val="true"/>
        <w:spacing w:lineRule="atLeast" w:line="240"/>
        <w:ind w:hanging="284" w:start="284" w:end="0"/>
        <w:jc w:val="both"/>
        <w:rPr>
          <w:rFonts w:ascii="Corbel" w:hAnsi="Corbel" w:cs="Arial"/>
          <w:spacing w:val="-2"/>
        </w:rPr>
      </w:pPr>
      <w:r>
        <w:rPr>
          <w:rFonts w:cs="Corbel" w:ascii="Corbel" w:hAnsi="Corbel"/>
        </w:rPr>
        <w:t>Review and approval of the annual financial statements, discharge of the Chairman;</w:t>
      </w:r>
    </w:p>
    <w:p>
      <w:pPr>
        <w:pStyle w:val="Normal"/>
        <w:numPr>
          <w:ilvl w:val="0"/>
          <w:numId w:val="11"/>
        </w:numPr>
        <w:tabs>
          <w:tab w:val="clear" w:pos="708"/>
          <w:tab w:val="left" w:pos="0" w:leader="none"/>
          <w:tab w:val="left" w:pos="317" w:leader="none"/>
          <w:tab w:val="left" w:pos="1392" w:leader="none"/>
          <w:tab w:val="left" w:pos="1678" w:leader="none"/>
          <w:tab w:val="left" w:pos="2160" w:leader="none"/>
        </w:tabs>
        <w:suppressAutoHyphens w:val="true"/>
        <w:spacing w:lineRule="atLeast" w:line="240"/>
        <w:ind w:hanging="284" w:start="284" w:end="0"/>
        <w:jc w:val="both"/>
        <w:rPr>
          <w:rFonts w:ascii="Corbel" w:hAnsi="Corbel" w:cs="Arial"/>
          <w:spacing w:val="-2"/>
        </w:rPr>
      </w:pPr>
      <w:r>
        <w:rPr>
          <w:rFonts w:cs="Corbel" w:ascii="Corbel" w:hAnsi="Corbel"/>
        </w:rPr>
        <w:t>Allocation of distributable income;</w:t>
      </w:r>
    </w:p>
    <w:p>
      <w:pPr>
        <w:pStyle w:val="Normal"/>
        <w:numPr>
          <w:ilvl w:val="0"/>
          <w:numId w:val="11"/>
        </w:numPr>
        <w:tabs>
          <w:tab w:val="clear" w:pos="708"/>
          <w:tab w:val="left" w:pos="0" w:leader="none"/>
          <w:tab w:val="left" w:pos="317" w:leader="none"/>
          <w:tab w:val="left" w:pos="1392" w:leader="none"/>
          <w:tab w:val="left" w:pos="1678" w:leader="none"/>
          <w:tab w:val="left" w:pos="2160" w:leader="none"/>
        </w:tabs>
        <w:suppressAutoHyphens w:val="true"/>
        <w:spacing w:lineRule="atLeast" w:line="240"/>
        <w:ind w:hanging="284" w:start="284" w:end="0"/>
        <w:jc w:val="both"/>
        <w:rPr>
          <w:rFonts w:ascii="Corbel" w:hAnsi="Corbel" w:cs="Arial"/>
          <w:spacing w:val="-2"/>
        </w:rPr>
      </w:pPr>
      <w:r>
        <w:rPr>
          <w:rFonts w:cs="Corbel" w:ascii="Corbel" w:hAnsi="Corbel"/>
        </w:rPr>
        <w:t>Powers for the completion of formalities.</w:t>
      </w:r>
    </w:p>
    <w:p>
      <w:pPr>
        <w:pStyle w:val="Normal"/>
        <w:tabs>
          <w:tab w:val="clear" w:pos="708"/>
          <w:tab w:val="left" w:pos="8640" w:leader="none"/>
          <w:tab w:val="right" w:pos="9072" w:leader="dot"/>
        </w:tabs>
        <w:jc w:val="both"/>
        <w:rPr>
          <w:rFonts w:ascii="Corbel" w:hAnsi="Corbel" w:cs="Arial"/>
          <w:spacing w:val="-2"/>
          <w:highlight w:val="yellow"/>
        </w:rPr>
      </w:pPr>
      <w:r>
        <w:rPr>
          <w:rFonts w:cs="Arial" w:ascii="Corbel" w:hAnsi="Corbel"/>
          <w:spacing w:val="-2"/>
          <w:highlight w:val="yellow"/>
        </w:rPr>
      </w:r>
    </w:p>
    <w:p>
      <w:pPr>
        <w:pStyle w:val="Normal"/>
        <w:tabs>
          <w:tab w:val="clear" w:pos="708"/>
          <w:tab w:val="left" w:pos="0" w:leader="none"/>
          <w:tab w:val="left" w:pos="317" w:leader="none"/>
          <w:tab w:val="left" w:pos="1392" w:leader="none"/>
          <w:tab w:val="left" w:pos="1678" w:leader="none"/>
          <w:tab w:val="left" w:pos="2160" w:leader="none"/>
        </w:tabs>
        <w:suppressAutoHyphens w:val="true"/>
        <w:spacing w:lineRule="atLeast" w:line="240"/>
        <w:jc w:val="both"/>
        <w:rPr>
          <w:rFonts w:ascii="Corbel" w:hAnsi="Corbel" w:cs="Arial"/>
          <w:color w:val="FF0000"/>
          <w:spacing w:val="-2"/>
          <w:highlight w:val="yellow"/>
          <w:lang w:eastAsia="en-US"/>
        </w:rPr>
      </w:pPr>
      <w:r>
        <w:rPr>
          <w:rFonts w:cs="Arial" w:ascii="Corbel" w:hAnsi="Corbel"/>
          <w:color w:val="FF0000"/>
          <w:spacing w:val="-2"/>
          <w:highlight w:val="yellow"/>
          <w:lang w:eastAsia="en-US"/>
        </w:rPr>
      </w:r>
    </w:p>
    <w:p>
      <w:pPr>
        <w:pStyle w:val="Normal"/>
        <w:tabs>
          <w:tab w:val="left" w:pos="0" w:leader="none"/>
          <w:tab w:val="left" w:pos="708" w:leader="none"/>
          <w:tab w:val="left" w:pos="1440" w:leader="none"/>
          <w:tab w:val="left" w:pos="2124" w:leader="none"/>
          <w:tab w:val="left" w:pos="2832" w:leader="none"/>
          <w:tab w:val="left" w:pos="3540" w:leader="none"/>
          <w:tab w:val="left" w:pos="4248" w:leader="none"/>
          <w:tab w:val="left" w:pos="4956" w:leader="none"/>
          <w:tab w:val="left" w:pos="5664" w:leader="none"/>
          <w:tab w:val="left" w:pos="6372" w:leader="none"/>
          <w:tab w:val="left" w:pos="7080" w:leader="none"/>
          <w:tab w:val="left" w:pos="7788" w:leader="none"/>
          <w:tab w:val="left" w:pos="8496" w:leader="none"/>
        </w:tabs>
        <w:suppressAutoHyphens w:val="true"/>
        <w:spacing w:lineRule="exact" w:line="240"/>
        <w:jc w:val="center"/>
        <w:rPr>
          <w:rFonts w:ascii="Arial" w:hAnsi="Arial" w:cs="Arial"/>
          <w:b/>
          <w:spacing w:val="-2"/>
        </w:rPr>
      </w:pPr>
      <w:r>
        <w:rPr>
          <w:rFonts w:cs="Arial" w:ascii="Arial" w:hAnsi="Arial"/>
          <w:b/>
        </w:rPr>
        <w:t>_____________________________________</w:t>
      </w:r>
    </w:p>
    <w:p>
      <w:pPr>
        <w:pStyle w:val="Normal"/>
        <w:ind w:end="-46"/>
        <w:jc w:val="both"/>
        <w:rPr>
          <w:rFonts w:ascii="Arial" w:hAnsi="Arial" w:cs="Arial"/>
          <w:b/>
          <w:spacing w:val="-2"/>
        </w:rPr>
      </w:pPr>
      <w:r>
        <w:rPr>
          <w:rFonts w:cs="Arial" w:ascii="Arial" w:hAnsi="Arial"/>
          <w:b/>
          <w:spacing w:val="-2"/>
        </w:rPr>
      </w:r>
    </w:p>
    <w:p>
      <w:pPr>
        <w:pStyle w:val="Normal"/>
        <w:ind w:end="-46"/>
        <w:jc w:val="both"/>
        <w:rPr>
          <w:rFonts w:ascii="Corbel" w:hAnsi="Corbel" w:cs="Arial"/>
          <w:sz w:val="22"/>
          <w:szCs w:val="22"/>
        </w:rPr>
      </w:pPr>
      <w:r>
        <w:rPr>
          <w:rFonts w:cs="Corbel" w:ascii="Corbel" w:hAnsi="Corbel"/>
          <w:sz w:val="22"/>
        </w:rPr>
        <w:t xml:space="preserve">Shareholders have the right to take part in this meeting regardless of the number of shares held, notwithstanding any contrary statutory provisions. </w:t>
      </w:r>
    </w:p>
    <w:p>
      <w:pPr>
        <w:pStyle w:val="Normal"/>
        <w:ind w:end="-46"/>
        <w:jc w:val="both"/>
        <w:rPr>
          <w:rFonts w:ascii="Corbel" w:hAnsi="Corbel" w:cs="Arial"/>
          <w:sz w:val="22"/>
          <w:szCs w:val="22"/>
        </w:rPr>
      </w:pPr>
      <w:r>
        <w:rPr>
          <w:rFonts w:cs="Arial" w:ascii="Corbel" w:hAnsi="Corbel"/>
          <w:sz w:val="22"/>
          <w:szCs w:val="22"/>
        </w:rPr>
      </w:r>
    </w:p>
    <w:p>
      <w:pPr>
        <w:pStyle w:val="Normal"/>
        <w:ind w:end="-46"/>
        <w:jc w:val="both"/>
        <w:rPr>
          <w:rFonts w:ascii="Corbel" w:hAnsi="Corbel" w:cs="Arial"/>
          <w:sz w:val="22"/>
          <w:szCs w:val="22"/>
        </w:rPr>
      </w:pPr>
      <w:r>
        <w:rPr>
          <w:rFonts w:cs="Corbel" w:ascii="Corbel" w:hAnsi="Corbel"/>
          <w:sz w:val="22"/>
        </w:rPr>
        <w:t xml:space="preserve">Attendance at General Meetings is subject to registration of the shares in the name of the shareholder or of the intermediary registered on their behalf pursuant to Article L. 228</w:t>
        <w:noBreakHyphen/>
        <w:t xml:space="preserve">1 of the French Commercial Code, at midnight (Paris time) on the fifth business day prior to the meeting, either in the registered share accounts held by the company or in the bearer share accounts held by the authorised intermediary.</w:t>
      </w:r>
    </w:p>
    <w:p>
      <w:pPr>
        <w:pStyle w:val="Normal"/>
        <w:ind w:end="-46"/>
        <w:jc w:val="both"/>
        <w:rPr>
          <w:rFonts w:ascii="Corbel" w:hAnsi="Corbel" w:cs="Arial"/>
          <w:sz w:val="22"/>
          <w:szCs w:val="22"/>
        </w:rPr>
      </w:pPr>
      <w:r>
        <w:rPr>
          <w:rFonts w:cs="Arial" w:ascii="Corbel" w:hAnsi="Corbel"/>
          <w:sz w:val="22"/>
          <w:szCs w:val="22"/>
        </w:rPr>
      </w:r>
    </w:p>
    <w:p>
      <w:pPr>
        <w:pStyle w:val="Normal"/>
        <w:ind w:end="-46"/>
        <w:jc w:val="both"/>
        <w:rPr>
          <w:rFonts w:ascii="Corbel" w:hAnsi="Corbel" w:cs="Arial"/>
          <w:sz w:val="22"/>
          <w:szCs w:val="22"/>
        </w:rPr>
      </w:pPr>
      <w:r>
        <w:rPr>
          <w:rFonts w:cs="Corbel" w:ascii="Corbel" w:hAnsi="Corbel"/>
          <w:sz w:val="22"/>
        </w:rPr>
        <w:t xml:space="preserve">Registration in bearer share accounts held by the authorised intermediary must be recorded in a shareholding certificate submitted by the intermediary, if necessary electronically under the terms laid out in Article R. 225</w:t>
        <w:noBreakHyphen/>
        <w:t xml:space="preserve">61 of the French Commercial Code, and attached to the remote voting or proxy form or to the admission card request established in the name of the shareholder or on behalf of the shareholder represented by the registered intermediary. </w:t>
      </w:r>
    </w:p>
    <w:p>
      <w:pPr>
        <w:pStyle w:val="Normal"/>
        <w:ind w:end="-46"/>
        <w:jc w:val="both"/>
        <w:rPr>
          <w:rFonts w:ascii="Corbel" w:hAnsi="Corbel" w:cs="Arial"/>
          <w:sz w:val="22"/>
          <w:szCs w:val="22"/>
        </w:rPr>
      </w:pPr>
      <w:r>
        <w:rPr>
          <w:rFonts w:cs="Arial" w:ascii="Corbel" w:hAnsi="Corbel"/>
          <w:sz w:val="22"/>
          <w:szCs w:val="22"/>
        </w:rPr>
      </w:r>
    </w:p>
    <w:p>
      <w:pPr>
        <w:pStyle w:val="Normal"/>
        <w:keepNext/>
        <w:keepLines/>
        <w:ind w:end="-46"/>
        <w:jc w:val="both"/>
        <w:rPr>
          <w:rFonts w:ascii="Corbel" w:hAnsi="Corbel" w:cs="Arial"/>
          <w:sz w:val="22"/>
          <w:szCs w:val="22"/>
        </w:rPr>
      </w:pPr>
      <w:r>
        <w:rPr>
          <w:rFonts w:cs="Corbel" w:ascii="Corbel" w:hAnsi="Corbel"/>
          <w:sz w:val="22"/>
        </w:rPr>
        <w:t>Shareholders unable to attend this meeting in person may choose one of the following three options:</w:t>
      </w:r>
    </w:p>
    <w:p>
      <w:pPr>
        <w:pStyle w:val="ListParagraph"/>
        <w:numPr>
          <w:ilvl w:val="0"/>
          <w:numId w:val="2"/>
        </w:numPr>
        <w:ind w:hanging="360" w:start="720" w:end="-46"/>
        <w:jc w:val="both"/>
        <w:rPr>
          <w:rFonts w:ascii="Corbel" w:hAnsi="Corbel" w:cs="Arial"/>
          <w:sz w:val="22"/>
          <w:szCs w:val="22"/>
        </w:rPr>
      </w:pPr>
      <w:r>
        <w:rPr>
          <w:rFonts w:cs="Corbel" w:ascii="Corbel" w:hAnsi="Corbel"/>
          <w:sz w:val="22"/>
        </w:rPr>
        <w:t>send their proxy form to the Company, without indicating a representative;</w:t>
      </w:r>
    </w:p>
    <w:p>
      <w:pPr>
        <w:pStyle w:val="ListParagraph"/>
        <w:numPr>
          <w:ilvl w:val="0"/>
          <w:numId w:val="2"/>
        </w:numPr>
        <w:ind w:hanging="360" w:start="720" w:end="-46"/>
        <w:jc w:val="both"/>
        <w:rPr>
          <w:rFonts w:ascii="Corbel" w:hAnsi="Corbel" w:cs="Arial"/>
          <w:sz w:val="22"/>
          <w:szCs w:val="22"/>
        </w:rPr>
      </w:pPr>
      <w:r>
        <w:rPr>
          <w:rFonts w:cs="Corbel" w:ascii="Corbel" w:hAnsi="Corbel"/>
          <w:sz w:val="22"/>
        </w:rPr>
        <w:t>appoint as proxy another shareholder or their spouse or civil partner;</w:t>
      </w:r>
    </w:p>
    <w:p>
      <w:pPr>
        <w:pStyle w:val="ListParagraph"/>
        <w:numPr>
          <w:ilvl w:val="0"/>
          <w:numId w:val="2"/>
        </w:numPr>
        <w:ind w:hanging="360" w:start="720" w:end="-46"/>
        <w:jc w:val="both"/>
        <w:rPr>
          <w:rFonts w:ascii="Corbel" w:hAnsi="Corbel" w:cs="Arial"/>
          <w:sz w:val="22"/>
          <w:szCs w:val="22"/>
        </w:rPr>
      </w:pPr>
      <w:r>
        <w:rPr>
          <w:rFonts w:cs="Corbel" w:ascii="Corbel" w:hAnsi="Corbel"/>
          <w:sz w:val="22"/>
        </w:rPr>
        <w:t>vote by post.</w:t>
      </w:r>
    </w:p>
    <w:p>
      <w:pPr>
        <w:pStyle w:val="Normal"/>
        <w:ind w:end="-46"/>
        <w:jc w:val="both"/>
        <w:rPr>
          <w:rFonts w:ascii="Corbel" w:hAnsi="Corbel" w:cs="Arial"/>
          <w:sz w:val="22"/>
          <w:szCs w:val="22"/>
        </w:rPr>
      </w:pPr>
      <w:r>
        <w:rPr>
          <w:rFonts w:cs="Arial" w:ascii="Corbel" w:hAnsi="Corbel"/>
          <w:sz w:val="22"/>
          <w:szCs w:val="22"/>
        </w:rPr>
      </w:r>
    </w:p>
    <w:p>
      <w:pPr>
        <w:pStyle w:val="Normal"/>
        <w:ind w:end="-46"/>
        <w:jc w:val="both"/>
        <w:rPr>
          <w:rFonts w:ascii="Corbel" w:hAnsi="Corbel" w:cs="Arial"/>
          <w:sz w:val="22"/>
          <w:szCs w:val="22"/>
        </w:rPr>
      </w:pPr>
      <w:r>
        <w:rPr>
          <w:rFonts w:cs="Corbel" w:ascii="Corbel" w:hAnsi="Corbel"/>
          <w:sz w:val="22"/>
        </w:rPr>
        <w:t>Shareholders who have already voted remotely, sent a proxy form or requested their admission card or shareholding certificate may transfer all or some of their shares at any time. However, should the transfer of ownership occur earlier than midnight (Paris time) five business days before the meeting, the Company shall amend or invalidate, as applicable, the remote vote, proxy form, admission card or shareholding certificate. To this end, the account-holding authorised intermediary gives notice of the transfer of ownership to the Company or to its representative and provides them with the necessary information.</w:t>
      </w:r>
    </w:p>
    <w:p>
      <w:pPr>
        <w:pStyle w:val="Normal"/>
        <w:ind w:end="-46"/>
        <w:jc w:val="both"/>
        <w:rPr>
          <w:rFonts w:ascii="Corbel" w:hAnsi="Corbel" w:cs="Arial"/>
          <w:sz w:val="22"/>
          <w:szCs w:val="22"/>
        </w:rPr>
      </w:pPr>
      <w:r>
        <w:rPr>
          <w:rFonts w:cs="Arial" w:ascii="Corbel" w:hAnsi="Corbel"/>
          <w:sz w:val="22"/>
          <w:szCs w:val="22"/>
        </w:rPr>
      </w:r>
    </w:p>
    <w:p>
      <w:pPr>
        <w:pStyle w:val="Normal"/>
        <w:ind w:end="-46"/>
        <w:jc w:val="both"/>
        <w:rPr>
          <w:rFonts w:ascii="Corbel" w:hAnsi="Corbel" w:cs="Arial"/>
          <w:sz w:val="22"/>
          <w:szCs w:val="22"/>
        </w:rPr>
      </w:pPr>
      <w:r>
        <w:rPr>
          <w:rFonts w:cs="Corbel" w:ascii="Corbel" w:hAnsi="Corbel"/>
          <w:sz w:val="22"/>
        </w:rPr>
        <w:t xml:space="preserve">Proxy and postal voting forms are automatically mailed to pure or administered registered shareholders. </w:t>
      </w:r>
    </w:p>
    <w:p>
      <w:pPr>
        <w:pStyle w:val="Normal"/>
        <w:ind w:end="-46"/>
        <w:jc w:val="both"/>
        <w:rPr>
          <w:rFonts w:ascii="Corbel" w:hAnsi="Corbel" w:cs="Arial"/>
          <w:sz w:val="22"/>
          <w:szCs w:val="22"/>
        </w:rPr>
      </w:pPr>
      <w:r>
        <w:rPr>
          <w:rFonts w:cs="Arial" w:ascii="Corbel" w:hAnsi="Corbel"/>
          <w:sz w:val="22"/>
          <w:szCs w:val="22"/>
        </w:rPr>
      </w:r>
    </w:p>
    <w:p>
      <w:pPr>
        <w:pStyle w:val="Normal"/>
        <w:ind w:end="-46"/>
        <w:jc w:val="both"/>
        <w:rPr>
          <w:rFonts w:ascii="Corbel" w:hAnsi="Corbel" w:cs="Arial"/>
          <w:sz w:val="22"/>
          <w:szCs w:val="22"/>
        </w:rPr>
      </w:pPr>
      <w:r>
        <w:rPr>
          <w:rFonts w:cs="Corbel" w:ascii="Corbel" w:hAnsi="Corbel"/>
          <w:sz w:val="22"/>
        </w:rPr>
        <w:t xml:space="preserve">In compliance with the law, all documents that need to be communicated for this General Meeting shall be made available to shareholders, within the time frames established by law, at the </w:t>
      </w:r>
      <w:r>
        <w:rPr>
          <w:rFonts w:cs="Corbel" w:ascii="Corbel" w:hAnsi="Corbel"/>
          <w:b/>
          <w:sz w:val="22"/>
        </w:rPr>
        <w:t>H2O INVEST</w:t>
      </w:r>
      <w:r>
        <w:rPr>
          <w:rFonts w:cs="Corbel" w:ascii="Corbel" w:hAnsi="Corbel"/>
          <w:sz w:val="22"/>
        </w:rPr>
        <w:t xml:space="preserve"> registered office or transmitted upon request sent to Uptevia.</w:t>
      </w:r>
    </w:p>
    <w:p>
      <w:pPr>
        <w:pStyle w:val="Normal"/>
        <w:ind w:end="-46"/>
        <w:jc w:val="both"/>
        <w:rPr>
          <w:rFonts w:ascii="Corbel" w:hAnsi="Corbel" w:cs="Arial"/>
          <w:sz w:val="22"/>
          <w:szCs w:val="22"/>
        </w:rPr>
      </w:pPr>
      <w:r>
        <w:rPr>
          <w:rFonts w:cs="Arial" w:ascii="Corbel" w:hAnsi="Corbel"/>
          <w:sz w:val="22"/>
          <w:szCs w:val="22"/>
        </w:rPr>
      </w:r>
    </w:p>
    <w:p>
      <w:pPr>
        <w:pStyle w:val="Normal"/>
        <w:ind w:end="-46"/>
        <w:jc w:val="both"/>
        <w:rPr>
          <w:rFonts w:ascii="Corbel" w:hAnsi="Corbel" w:cs="Arial"/>
          <w:b/>
          <w:bCs/>
          <w:sz w:val="22"/>
          <w:szCs w:val="22"/>
        </w:rPr>
      </w:pPr>
      <w:r>
        <w:rPr>
          <w:rFonts w:cs="Corbel" w:ascii="Corbel" w:hAnsi="Corbel"/>
          <w:sz w:val="22"/>
        </w:rPr>
        <w:t xml:space="preserve">Proxy and postal voting forms will be sent to bearer shareholders on written request, received by registered post with notice of receipt, by </w:t>
      </w:r>
      <w:r>
        <w:rPr>
          <w:rFonts w:cs="Corbel" w:ascii="Corbel" w:hAnsi="Corbel"/>
          <w:b/>
          <w:sz w:val="22"/>
        </w:rPr>
        <w:t xml:space="preserve">Uptevia Service Assemblées Générales – 90</w:t>
        <w:noBreakHyphen/>
        <w:t xml:space="preserve">110 Esplanade du Général de Gaulle – 92931 Paris la Défense Cedex – France </w:t>
      </w:r>
      <w:r>
        <w:rPr>
          <w:rFonts w:cs="Corbel" w:ascii="Corbel" w:hAnsi="Corbel"/>
          <w:sz w:val="22"/>
        </w:rPr>
        <w:t>no later than five days before the meeting date.</w:t>
      </w:r>
    </w:p>
    <w:p>
      <w:pPr>
        <w:pStyle w:val="Normal"/>
        <w:ind w:end="-46"/>
        <w:jc w:val="both"/>
        <w:rPr>
          <w:rFonts w:ascii="Corbel" w:hAnsi="Corbel" w:cs="Arial"/>
          <w:b/>
          <w:bCs/>
          <w:sz w:val="22"/>
          <w:szCs w:val="22"/>
        </w:rPr>
      </w:pPr>
      <w:r>
        <w:rPr>
          <w:rFonts w:cs="Arial" w:ascii="Corbel" w:hAnsi="Corbel"/>
          <w:b/>
          <w:bCs/>
          <w:sz w:val="22"/>
          <w:szCs w:val="22"/>
        </w:rPr>
      </w:r>
    </w:p>
    <w:p>
      <w:pPr>
        <w:pStyle w:val="Normal"/>
        <w:ind w:end="-46"/>
        <w:jc w:val="both"/>
        <w:rPr>
          <w:rFonts w:ascii="Corbel" w:hAnsi="Corbel" w:cs="Arial"/>
          <w:b/>
          <w:bCs/>
          <w:sz w:val="22"/>
          <w:szCs w:val="22"/>
        </w:rPr>
      </w:pPr>
      <w:r>
        <w:rPr>
          <w:rFonts w:cs="Corbel" w:ascii="Corbel" w:hAnsi="Corbel"/>
          <w:sz w:val="22"/>
        </w:rPr>
        <w:t xml:space="preserve">Postal voting forms will be counted only if they are filled out in full, signed and received by </w:t>
      </w:r>
      <w:r>
        <w:rPr>
          <w:rFonts w:cs="Corbel" w:ascii="Corbel" w:hAnsi="Corbel"/>
          <w:b/>
          <w:sz w:val="22"/>
        </w:rPr>
        <w:t xml:space="preserve">Uptevia Service Assemblées Générales – 90</w:t>
        <w:noBreakHyphen/>
        <w:t xml:space="preserve">110 Esplanade du Général de Gaulle – 92931 Paris la Défense Cedex – France </w:t>
      </w:r>
      <w:r>
        <w:rPr>
          <w:rFonts w:cs="Corbel" w:ascii="Corbel" w:hAnsi="Corbel"/>
          <w:sz w:val="22"/>
        </w:rPr>
        <w:t>no later than two days before the meeting.</w:t>
      </w:r>
    </w:p>
    <w:p>
      <w:pPr>
        <w:pStyle w:val="Normal"/>
        <w:ind w:end="-46"/>
        <w:jc w:val="both"/>
        <w:rPr>
          <w:rFonts w:ascii="Corbel" w:hAnsi="Corbel" w:cs="Arial"/>
          <w:b/>
          <w:bCs/>
          <w:sz w:val="22"/>
          <w:szCs w:val="22"/>
        </w:rPr>
      </w:pPr>
      <w:r>
        <w:rPr>
          <w:rFonts w:cs="Arial" w:ascii="Corbel" w:hAnsi="Corbel"/>
          <w:b/>
          <w:bCs/>
          <w:sz w:val="22"/>
          <w:szCs w:val="22"/>
        </w:rPr>
      </w:r>
    </w:p>
    <w:p>
      <w:pPr>
        <w:pStyle w:val="Normal"/>
        <w:ind w:end="-46"/>
        <w:jc w:val="both"/>
        <w:rPr>
          <w:rFonts w:ascii="Corbel" w:hAnsi="Corbel" w:cs="Arial"/>
          <w:sz w:val="22"/>
          <w:szCs w:val="22"/>
        </w:rPr>
      </w:pPr>
      <w:r>
        <w:rPr>
          <w:rFonts w:cs="Corbel" w:ascii="Corbel" w:hAnsi="Corbel"/>
          <w:sz w:val="22"/>
        </w:rPr>
        <w:t>Shareholders who have already voted remotely, sent a proxy form or requested their admission card or shareholding certificate are not entitled to attend the meeting in any other way, unless indicated otherwise in the articles of association.</w:t>
      </w:r>
    </w:p>
    <w:p>
      <w:pPr>
        <w:pStyle w:val="Normal"/>
        <w:ind w:end="-46"/>
        <w:jc w:val="both"/>
        <w:rPr>
          <w:rFonts w:ascii="Corbel" w:hAnsi="Corbel" w:cs="Arial"/>
          <w:sz w:val="22"/>
          <w:szCs w:val="22"/>
        </w:rPr>
      </w:pPr>
      <w:r>
        <w:rPr>
          <w:rFonts w:cs="Arial" w:ascii="Corbel" w:hAnsi="Corbel"/>
          <w:sz w:val="22"/>
          <w:szCs w:val="22"/>
        </w:rPr>
      </w:r>
    </w:p>
    <w:p>
      <w:pPr>
        <w:pStyle w:val="Normal"/>
        <w:ind w:end="-46"/>
        <w:jc w:val="both"/>
        <w:rPr>
          <w:rFonts w:ascii="Corbel" w:hAnsi="Corbel" w:cs="Arial"/>
          <w:sz w:val="22"/>
          <w:szCs w:val="22"/>
        </w:rPr>
      </w:pPr>
      <w:r>
        <w:rPr>
          <w:rFonts w:cs="Corbel" w:ascii="Corbel" w:hAnsi="Corbel"/>
          <w:sz w:val="22"/>
        </w:rPr>
        <w:t>Shareholders may submit written questions to the Company as of the date of this document. These questions must be addressed to the Company’s registered office and sent by registered post with notice of receipt no later than four business days before the date of the General Meeting. They must include a share registration certificate.</w:t>
      </w:r>
    </w:p>
    <w:p>
      <w:pPr>
        <w:pStyle w:val="Normal"/>
        <w:ind w:end="-46"/>
        <w:jc w:val="both"/>
        <w:rPr>
          <w:rFonts w:ascii="Corbel" w:hAnsi="Corbel" w:cs="Arial"/>
          <w:sz w:val="22"/>
          <w:szCs w:val="22"/>
        </w:rPr>
      </w:pPr>
      <w:r>
        <w:rPr>
          <w:rFonts w:cs="Arial" w:ascii="Corbel" w:hAnsi="Corbel"/>
          <w:sz w:val="22"/>
          <w:szCs w:val="22"/>
        </w:rPr>
      </w:r>
    </w:p>
    <w:p>
      <w:pPr>
        <w:pStyle w:val="Normal"/>
        <w:ind w:end="-46"/>
        <w:jc w:val="both"/>
        <w:rPr>
          <w:rFonts w:ascii="Corbel" w:hAnsi="Corbel" w:cs="Arial"/>
          <w:sz w:val="22"/>
          <w:szCs w:val="22"/>
          <w:lang w:val="en-US"/>
        </w:rPr>
      </w:pPr>
      <w:r>
        <w:rPr>
          <w:rFonts w:cs="Arial" w:ascii="Corbel" w:hAnsi="Corbel"/>
          <w:sz w:val="22"/>
          <w:szCs w:val="22"/>
          <w:lang w:val="en-US"/>
        </w:rPr>
        <w:t>The updated prospectus, key investor information, articles of association and most recent periodic reports are available free of charge from the registered office of the SICAV.</w:t>
      </w:r>
    </w:p>
    <w:p>
      <w:pPr>
        <w:pStyle w:val="Normal"/>
        <w:ind w:end="-46"/>
        <w:jc w:val="both"/>
        <w:rPr>
          <w:rFonts w:ascii="Corbel" w:hAnsi="Corbel" w:cs="Arial"/>
          <w:sz w:val="22"/>
          <w:szCs w:val="22"/>
          <w:lang w:val="en-US"/>
        </w:rPr>
      </w:pPr>
      <w:r>
        <w:rPr>
          <w:rFonts w:cs="Arial" w:ascii="Corbel" w:hAnsi="Corbel"/>
          <w:sz w:val="22"/>
          <w:szCs w:val="22"/>
          <w:lang w:val="en-US"/>
        </w:rPr>
      </w:r>
    </w:p>
    <w:p>
      <w:pPr>
        <w:pStyle w:val="Normal"/>
        <w:ind w:end="-46"/>
        <w:jc w:val="end"/>
        <w:rPr>
          <w:rFonts w:ascii="Corbel" w:hAnsi="Corbel" w:cs="Corbel"/>
          <w:sz w:val="22"/>
          <w:szCs w:val="22"/>
        </w:rPr>
      </w:pPr>
      <w:r>
        <w:rPr>
          <w:rFonts w:cs="Corbel" w:ascii="Corbel" w:hAnsi="Corbel"/>
          <w:sz w:val="22"/>
        </w:rPr>
        <w:t>The Chairman</w:t>
      </w:r>
    </w:p>
    <w:sectPr>
      <w:footerReference w:type="even" r:id="rId2"/>
      <w:footerReference w:type="default" r:id="rId3"/>
      <w:footerReference w:type="first" r:id="rId4"/>
      <w:type w:val="nextPage"/>
      <w:pgSz w:w="11906" w:h="16838"/>
      <w:pgMar w:left="1417" w:right="1417" w:gutter="0" w:header="0" w:top="851" w:footer="720" w:bottom="1135"/>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Times New Roman">
    <w:altName w:val="Times New Roman"/>
    <w:charset w:val="01" w:characterSet="utf-8"/>
    <w:family w:val="roman"/>
    <w:pitch w:val="variable"/>
  </w:font>
  <w:font w:name="Times New Roman">
    <w:charset w:val="01" w:characterSet="utf-8"/>
    <w:family w:val="roman"/>
    <w:pitch w:val="variable"/>
  </w:font>
  <w:font w:name="Times New Roman Gras">
    <w:altName w:val="Times New Roman"/>
    <w:charset w:val="01" w:characterSet="utf-8"/>
    <w:family w:val="roman"/>
    <w:pitch w:val="variable"/>
  </w:font>
  <w:font w:name="Arial">
    <w:charset w:val="01" w:characterSet="utf-8"/>
    <w:family w:val="roman"/>
    <w:pitch w:val="variable"/>
  </w:font>
  <w:font w:name="Symbol">
    <w:charset w:val="01" w:characterSet="utf-8"/>
    <w:family w:val="roman"/>
    <w:pitch w:val="variable"/>
  </w:font>
  <w:font w:name="Courier New">
    <w:charset w:val="01" w:characterSet="utf-8"/>
    <w:family w:val="roman"/>
    <w:pitch w:val="variable"/>
  </w:font>
  <w:font w:name="Wingdings">
    <w:charset w:val="01" w:characterSet="utf-8"/>
    <w:family w:val="roman"/>
    <w:pitch w:val="variable"/>
  </w:font>
  <w:font w:name="Webdings">
    <w:charset w:val="01" w:characterSet="utf-8"/>
    <w:family w:val="roman"/>
    <w:pitch w:val="variable"/>
  </w:font>
  <w:font w:name="Times">
    <w:altName w:val="Times New Roman"/>
    <w:charset w:val="01" w:characterSet="utf-8"/>
    <w:family w:val="roman"/>
    <w:pitch w:val="variable"/>
  </w:font>
  <w:font w:name="Arial">
    <w:altName w:val="Arial"/>
    <w:charset w:val="01" w:characterSet="utf-8"/>
    <w:family w:val="roman"/>
    <w:pitch w:val="variable"/>
  </w:font>
  <w:font w:name="Arial MT">
    <w:charset w:val="01" w:characterSet="utf-8"/>
    <w:family w:val="roman"/>
    <w:pitch w:val="variable"/>
  </w:font>
  <w:font w:name="Letter Gothic">
    <w:altName w:val="Courier New"/>
    <w:charset w:val="01" w:characterSet="utf-8"/>
    <w:family w:val="roman"/>
    <w:pitch w:val="variable"/>
  </w:font>
  <w:font w:name="GillSans">
    <w:altName w:val="Calibri"/>
    <w:charset w:val="01" w:characterSet="utf-8"/>
    <w:family w:val="roman"/>
    <w:pitch w:val="variable"/>
  </w:font>
  <w:font w:name="Tahoma">
    <w:charset w:val="01" w:characterSet="utf-8"/>
    <w:family w:val="roman"/>
    <w:pitch w:val="variable"/>
  </w:font>
  <w:font w:name="Courier">
    <w:altName w:val="Courier New"/>
    <w:charset w:val="01" w:characterSet="utf-8"/>
    <w:family w:val="roman"/>
    <w:pitch w:val="variable"/>
  </w:font>
  <w:font w:name="Corbel">
    <w:charset w:val="01" w:characterSet="utf-8"/>
    <w:family w:val="roman"/>
    <w:pitch w:val="variable"/>
  </w:font>
  <w:font w:name="Calibri">
    <w:charset w:val="01" w:characterSet="utf-8"/>
    <w:family w:val="roman"/>
    <w:pitch w:val="variable"/>
  </w:font>
  <w:font w:name="Webdings">
    <w:charset w:val="02"/>
    <w:family w:val="auto"/>
    <w:pitch w:val="variable"/>
  </w:font>
  <w:font w:name="Symbol">
    <w:charset w:val="02"/>
    <w:family w:val="auto"/>
    <w:pitch w:val="variable"/>
  </w:font>
  <w:font w:name="Wingdings">
    <w:charset w:val="02"/>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end="360"/>
      <w:jc w:val="end"/>
      <w:rPr/>
    </w:pPr>
    <w:r>
      <w:rPr/>
      <mc:AlternateContent>
        <mc:Choice Requires="wps">
          <w:drawing>
            <wp:anchor behindDoc="1" distT="0" distB="0" distL="0" distR="0" simplePos="0" locked="0" layoutInCell="0" allowOverlap="1" relativeHeight="8">
              <wp:simplePos x="0" y="0"/>
              <wp:positionH relativeFrom="margin">
                <wp:align>right</wp:align>
              </wp:positionH>
              <wp:positionV relativeFrom="paragraph">
                <wp:posOffset>635</wp:posOffset>
              </wp:positionV>
              <wp:extent cx="64135" cy="146685"/>
              <wp:effectExtent l="0" t="0" r="0" b="0"/>
              <wp:wrapSquare wrapText="bothSides"/>
              <wp:docPr id="2" name="Frame1"/>
              <a:graphic xmlns:a="http://schemas.openxmlformats.org/drawingml/2006/main">
                <a:graphicData uri="http://schemas.microsoft.com/office/word/2010/wordprocessingShape">
                  <wps:wsp>
                    <wps:cNvSpPr/>
                    <wps:spPr>
                      <a:xfrm>
                        <a:off x="0" y="0"/>
                        <a:ext cx="64080" cy="146520"/>
                      </a:xfrm>
                      <a:prstGeom prst="rect">
                        <a:avLst/>
                      </a:prstGeom>
                      <a:noFill/>
                      <a:ln w="0">
                        <a:noFill/>
                      </a:ln>
                    </wps:spPr>
                    <wps:style>
                      <a:lnRef idx="0"/>
                      <a:fillRef idx="0"/>
                      <a:effectRef idx="0"/>
                      <a:fontRef idx="minor"/>
                    </wps:style>
                    <wps:txbx>
                      <w:txbxContent>
                        <w:p>
                          <w:pPr>
                            <w:pStyle w:val="Foote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txbxContent>
                    </wps:txbx>
                    <wps:bodyPr lIns="0" rIns="0" tIns="0" bIns="0" anchor="t">
                      <a:noAutofit/>
                    </wps:bodyPr>
                  </wps:wsp>
                </a:graphicData>
              </a:graphic>
            </wp:anchor>
          </w:drawing>
        </mc:Choice>
        <mc:Fallback>
          <w:pict>
            <v:rect id="shape_0" ID="Frame1" path="m0,0l-2147483645,0l-2147483645,-2147483646l0,-2147483646xe" fillcolor="white" stroked="f" o:allowincell="f" style="position:absolute;margin-left:448.45pt;margin-top:0.05pt;width:5pt;height:11.5pt;mso-wrap-style:square;v-text-anchor:top;mso-position-horizontal:right;mso-position-horizontal-relative:margin">
              <v:fill o:detectmouseclick="t" type="solid" color2="black" opacity="0"/>
              <v:stroke color="#3465a4" joinstyle="round" endcap="flat"/>
              <v:textbox>
                <w:txbxContent>
                  <w:p>
                    <w:pPr>
                      <w:pStyle w:val="Foote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txbxContent>
              </v:textbox>
              <w10:wrap type="square"/>
            </v:rect>
          </w:pict>
        </mc:Fallback>
      </mc:AlternateConten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end="360"/>
      <w:jc w:val="end"/>
      <w:rPr/>
    </w:pPr>
    <w:r>
      <w:rPr/>
      <mc:AlternateContent>
        <mc:Choice Requires="wps">
          <w:drawing>
            <wp:anchor behindDoc="1" distT="0" distB="0" distL="0" distR="0" simplePos="0" locked="0" layoutInCell="0" allowOverlap="1" relativeHeight="8">
              <wp:simplePos x="0" y="0"/>
              <wp:positionH relativeFrom="margin">
                <wp:align>right</wp:align>
              </wp:positionH>
              <wp:positionV relativeFrom="paragraph">
                <wp:posOffset>635</wp:posOffset>
              </wp:positionV>
              <wp:extent cx="64135" cy="146685"/>
              <wp:effectExtent l="0" t="0" r="0" b="0"/>
              <wp:wrapSquare wrapText="bothSides"/>
              <wp:docPr id="4" name="Frame1"/>
              <a:graphic xmlns:a="http://schemas.openxmlformats.org/drawingml/2006/main">
                <a:graphicData uri="http://schemas.microsoft.com/office/word/2010/wordprocessingShape">
                  <wps:wsp>
                    <wps:cNvSpPr/>
                    <wps:spPr>
                      <a:xfrm>
                        <a:off x="0" y="0"/>
                        <a:ext cx="64080" cy="146520"/>
                      </a:xfrm>
                      <a:prstGeom prst="rect">
                        <a:avLst/>
                      </a:prstGeom>
                      <a:noFill/>
                      <a:ln w="0">
                        <a:noFill/>
                      </a:ln>
                    </wps:spPr>
                    <wps:style>
                      <a:lnRef idx="0"/>
                      <a:fillRef idx="0"/>
                      <a:effectRef idx="0"/>
                      <a:fontRef idx="minor"/>
                    </wps:style>
                    <wps:txbx>
                      <w:txbxContent>
                        <w:p>
                          <w:pPr>
                            <w:pStyle w:val="Foote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txbxContent>
                    </wps:txbx>
                    <wps:bodyPr lIns="0" rIns="0" tIns="0" bIns="0" anchor="t">
                      <a:noAutofit/>
                    </wps:bodyPr>
                  </wps:wsp>
                </a:graphicData>
              </a:graphic>
            </wp:anchor>
          </w:drawing>
        </mc:Choice>
        <mc:Fallback>
          <w:pict>
            <v:rect id="shape_0" ID="Frame1" path="m0,0l-2147483645,0l-2147483645,-2147483646l0,-2147483646xe" fillcolor="white" stroked="f" o:allowincell="f" style="position:absolute;margin-left:448.45pt;margin-top:0.05pt;width:5pt;height:11.5pt;mso-wrap-style:square;v-text-anchor:top;mso-position-horizontal:right;mso-position-horizontal-relative:margin">
              <v:fill o:detectmouseclick="t" type="solid" color2="black" opacity="0"/>
              <v:stroke color="#3465a4" joinstyle="round" endcap="flat"/>
              <v:textbox>
                <w:txbxContent>
                  <w:p>
                    <w:pPr>
                      <w:pStyle w:val="Foote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txbxContent>
              </v:textbox>
              <w10:wrap type="square"/>
            </v:rect>
          </w:pict>
        </mc:Fallback>
      </mc:AlternateConten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decimal"/>
      <w:lvlText w:val="%1"/>
      <w:lvlJc w:val="start"/>
      <w:pPr>
        <w:tabs>
          <w:tab w:val="num" w:pos="0"/>
        </w:tabs>
        <w:ind w:start="0" w:hanging="0"/>
      </w:pPr>
      <w:rPr/>
    </w:lvl>
    <w:lvl w:ilvl="1">
      <w:start w:val="1"/>
      <w:pStyle w:val="Heading2"/>
      <w:numFmt w:val="decimal"/>
      <w:lvlText w:val="%1.%2"/>
      <w:lvlJc w:val="start"/>
      <w:pPr>
        <w:tabs>
          <w:tab w:val="num" w:pos="0"/>
        </w:tabs>
        <w:ind w:start="0" w:hanging="0"/>
      </w:pPr>
      <w:rPr/>
    </w:lvl>
    <w:lvl w:ilvl="2">
      <w:start w:val="1"/>
      <w:pStyle w:val="Heading3"/>
      <w:numFmt w:val="decimal"/>
      <w:lvlText w:val="%1.%2.%3"/>
      <w:lvlJc w:val="start"/>
      <w:pPr>
        <w:tabs>
          <w:tab w:val="num" w:pos="0"/>
        </w:tabs>
        <w:ind w:start="0" w:hanging="0"/>
      </w:pPr>
      <w:rPr/>
    </w:lvl>
    <w:lvl w:ilvl="3">
      <w:start w:val="1"/>
      <w:numFmt w:val="decimal"/>
      <w:lvlText w:val="%1.%2.%3.%4"/>
      <w:lvlJc w:val="start"/>
      <w:pPr>
        <w:tabs>
          <w:tab w:val="num" w:pos="0"/>
        </w:tabs>
        <w:ind w:start="0" w:hanging="0"/>
      </w:pPr>
      <w:rPr/>
    </w:lvl>
    <w:lvl w:ilvl="4">
      <w:start w:val="1"/>
      <w:numFmt w:val="decimal"/>
      <w:lvlText w:val="%1.%2.%3.%4.%5"/>
      <w:lvlJc w:val="start"/>
      <w:pPr>
        <w:tabs>
          <w:tab w:val="num" w:pos="0"/>
        </w:tabs>
        <w:ind w:start="0" w:hanging="0"/>
      </w:pPr>
      <w:rPr/>
    </w:lvl>
    <w:lvl w:ilvl="5">
      <w:start w:val="1"/>
      <w:numFmt w:val="decimal"/>
      <w:lvlText w:val="%1.%2.%3.%4.%5.%6"/>
      <w:lvlJc w:val="start"/>
      <w:pPr>
        <w:tabs>
          <w:tab w:val="num" w:pos="0"/>
        </w:tabs>
        <w:ind w:start="0" w:hanging="0"/>
      </w:pPr>
      <w:rPr/>
    </w:lvl>
    <w:lvl w:ilvl="6">
      <w:start w:val="1"/>
      <w:numFmt w:val="decimal"/>
      <w:lvlText w:val="%1.%2.%3.%4.%5.%6.%7"/>
      <w:lvlJc w:val="start"/>
      <w:pPr>
        <w:tabs>
          <w:tab w:val="num" w:pos="0"/>
        </w:tabs>
        <w:ind w:start="0" w:hanging="0"/>
      </w:pPr>
      <w:rPr/>
    </w:lvl>
    <w:lvl w:ilvl="7">
      <w:start w:val="1"/>
      <w:numFmt w:val="decimal"/>
      <w:lvlText w:val="%1.%2.%3.%4.%5.%6.%7.%8"/>
      <w:lvlJc w:val="start"/>
      <w:pPr>
        <w:tabs>
          <w:tab w:val="num" w:pos="0"/>
        </w:tabs>
        <w:ind w:start="0" w:hanging="0"/>
      </w:pPr>
      <w:rPr/>
    </w:lvl>
    <w:lvl w:ilvl="8">
      <w:start w:val="1"/>
      <w:numFmt w:val="decimal"/>
      <w:lvlText w:val="%1.%2.%3.%4.%5.%6.%7.%8.%9"/>
      <w:lvlJc w:val="start"/>
      <w:pPr>
        <w:tabs>
          <w:tab w:val="num" w:pos="0"/>
        </w:tabs>
        <w:ind w:start="0" w:hanging="0"/>
      </w:pPr>
      <w:rPr/>
    </w:lvl>
  </w:abstractNum>
  <w:abstractNum w:abstractNumId="2">
    <w:lvl w:ilvl="0">
      <w:start w:val="1"/>
      <w:numFmt w:val="decimal"/>
      <w:lvlText w:val="%1)"/>
      <w:lvlJc w:val="start"/>
      <w:pPr>
        <w:tabs>
          <w:tab w:val="num" w:pos="0"/>
        </w:tabs>
        <w:ind w:start="720" w:hanging="360"/>
      </w:pPr>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3">
    <w:lvl w:ilvl="0">
      <w:start w:val="1"/>
      <w:numFmt w:val="bullet"/>
      <w:lvlText w:val=""/>
      <w:lvlJc w:val="start"/>
      <w:pPr>
        <w:tabs>
          <w:tab w:val="num" w:pos="360"/>
        </w:tabs>
        <w:ind w:start="360" w:hanging="360"/>
      </w:pPr>
      <w:rPr>
        <w:rFonts w:ascii="Webdings" w:hAnsi="Webdings" w:cs="Webdings" w:hint="default"/>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4">
    <w:lvl w:ilvl="0">
      <w:start w:val="1"/>
      <w:numFmt w:val="bullet"/>
      <w:lvlText w:val=""/>
      <w:lvlJc w:val="start"/>
      <w:pPr>
        <w:tabs>
          <w:tab w:val="num" w:pos="360"/>
        </w:tabs>
        <w:ind w:start="360" w:hanging="360"/>
      </w:pPr>
      <w:rPr>
        <w:rFonts w:ascii="Symbol" w:hAnsi="Symbol" w:cs="Symbol" w:hint="default"/>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5">
    <w:lvl w:ilvl="0">
      <w:start w:val="1"/>
      <w:numFmt w:val="bullet"/>
      <w:lvlText w:val=""/>
      <w:lvlJc w:val="start"/>
      <w:pPr>
        <w:tabs>
          <w:tab w:val="num" w:pos="360"/>
        </w:tabs>
        <w:ind w:start="360" w:hanging="360"/>
      </w:pPr>
      <w:rPr>
        <w:rFonts w:ascii="Symbol" w:hAnsi="Symbol" w:cs="Symbol" w:hint="default"/>
        <w:sz w:val="16"/>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6">
    <w:lvl w:ilvl="0">
      <w:start w:val="1"/>
      <w:numFmt w:val="bullet"/>
      <w:lvlText w:val=""/>
      <w:lvlJc w:val="start"/>
      <w:pPr>
        <w:tabs>
          <w:tab w:val="num" w:pos="360"/>
        </w:tabs>
        <w:ind w:start="360" w:hanging="360"/>
      </w:pPr>
      <w:rPr>
        <w:rFonts w:ascii="Wingdings" w:hAnsi="Wingdings" w:cs="Wingdings" w:hint="default"/>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7">
    <w:lvl w:ilvl="0">
      <w:start w:val="1"/>
      <w:numFmt w:val="bullet"/>
      <w:lvlText w:val=""/>
      <w:lvlJc w:val="start"/>
      <w:pPr>
        <w:tabs>
          <w:tab w:val="num" w:pos="360"/>
        </w:tabs>
        <w:ind w:start="360" w:hanging="360"/>
      </w:pPr>
      <w:rPr>
        <w:rFonts w:ascii="Wingdings" w:hAnsi="Wingdings" w:cs="Wingdings" w:hint="default"/>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8">
    <w:lvl w:ilvl="0">
      <w:start w:val="1"/>
      <w:numFmt w:val="bullet"/>
      <w:lvlText w:val=""/>
      <w:lvlJc w:val="start"/>
      <w:pPr>
        <w:tabs>
          <w:tab w:val="num" w:pos="360"/>
        </w:tabs>
        <w:ind w:start="360" w:hanging="360"/>
      </w:pPr>
      <w:rPr>
        <w:rFonts w:ascii="Symbol" w:hAnsi="Symbol" w:cs="Symbol" w:hint="default"/>
        <w:sz w:val="16"/>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9">
    <w:lvl w:ilvl="0">
      <w:start w:val="1"/>
      <w:numFmt w:val="bullet"/>
      <w:lvlText w:val=""/>
      <w:lvlJc w:val="start"/>
      <w:pPr>
        <w:tabs>
          <w:tab w:val="num" w:pos="360"/>
        </w:tabs>
        <w:ind w:start="360" w:hanging="360"/>
      </w:pPr>
      <w:rPr>
        <w:rFonts w:ascii="Symbol" w:hAnsi="Symbol" w:cs="Symbol" w:hint="default"/>
        <w:color w:val="000000"/>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10">
    <w:lvl w:ilvl="0">
      <w:start w:val="1"/>
      <w:numFmt w:val="decimal"/>
      <w:lvlText w:val="%1."/>
      <w:lvlJc w:val="start"/>
      <w:pPr>
        <w:tabs>
          <w:tab w:val="num" w:pos="720"/>
        </w:tabs>
        <w:ind w:start="720" w:hanging="720"/>
      </w:pPr>
      <w:rPr/>
    </w:lvl>
    <w:lvl w:ilvl="1">
      <w:start w:val="1"/>
      <w:numFmt w:val="decimal"/>
      <w:lvlText w:val="%2."/>
      <w:lvlJc w:val="start"/>
      <w:pPr>
        <w:tabs>
          <w:tab w:val="num" w:pos="1440"/>
        </w:tabs>
        <w:ind w:start="1440" w:hanging="720"/>
      </w:pPr>
      <w:rPr/>
    </w:lvl>
    <w:lvl w:ilvl="2">
      <w:start w:val="1"/>
      <w:numFmt w:val="decimal"/>
      <w:lvlText w:val="%3."/>
      <w:lvlJc w:val="start"/>
      <w:pPr>
        <w:tabs>
          <w:tab w:val="num" w:pos="2160"/>
        </w:tabs>
        <w:ind w:start="2160" w:hanging="720"/>
      </w:pPr>
      <w:rPr/>
    </w:lvl>
    <w:lvl w:ilvl="3">
      <w:start w:val="1"/>
      <w:numFmt w:val="decimal"/>
      <w:lvlText w:val="%4."/>
      <w:lvlJc w:val="start"/>
      <w:pPr>
        <w:tabs>
          <w:tab w:val="num" w:pos="2880"/>
        </w:tabs>
        <w:ind w:start="2880" w:hanging="720"/>
      </w:pPr>
      <w:rPr/>
    </w:lvl>
    <w:lvl w:ilvl="4">
      <w:start w:val="1"/>
      <w:numFmt w:val="decimal"/>
      <w:lvlText w:val="%5."/>
      <w:lvlJc w:val="start"/>
      <w:pPr>
        <w:tabs>
          <w:tab w:val="num" w:pos="3600"/>
        </w:tabs>
        <w:ind w:start="3600" w:hanging="720"/>
      </w:pPr>
      <w:rPr/>
    </w:lvl>
    <w:lvl w:ilvl="5">
      <w:start w:val="1"/>
      <w:numFmt w:val="decimal"/>
      <w:lvlText w:val="%6."/>
      <w:lvlJc w:val="start"/>
      <w:pPr>
        <w:tabs>
          <w:tab w:val="num" w:pos="4320"/>
        </w:tabs>
        <w:ind w:start="4320" w:hanging="720"/>
      </w:pPr>
      <w:rPr/>
    </w:lvl>
    <w:lvl w:ilvl="6">
      <w:start w:val="1"/>
      <w:numFmt w:val="decimal"/>
      <w:lvlText w:val="%7."/>
      <w:lvlJc w:val="start"/>
      <w:pPr>
        <w:tabs>
          <w:tab w:val="num" w:pos="5040"/>
        </w:tabs>
        <w:ind w:start="5040" w:hanging="720"/>
      </w:pPr>
      <w:rPr/>
    </w:lvl>
    <w:lvl w:ilvl="7">
      <w:start w:val="1"/>
      <w:numFmt w:val="decimal"/>
      <w:lvlText w:val="%8."/>
      <w:lvlJc w:val="start"/>
      <w:pPr>
        <w:tabs>
          <w:tab w:val="num" w:pos="5760"/>
        </w:tabs>
        <w:ind w:start="5760" w:hanging="720"/>
      </w:pPr>
      <w:rPr/>
    </w:lvl>
    <w:lvl w:ilvl="8">
      <w:start w:val="1"/>
      <w:numFmt w:val="decimal"/>
      <w:lvlText w:val="%9."/>
      <w:lvlJc w:val="start"/>
      <w:pPr>
        <w:tabs>
          <w:tab w:val="num" w:pos="6480"/>
        </w:tabs>
        <w:ind w:start="6480" w:hanging="720"/>
      </w:pPr>
      <w:rPr/>
    </w:lvl>
  </w:abstractNum>
  <w:abstractNum w:abstractNumId="11">
    <w:lvl w:ilvl="0">
      <w:numFmt w:val="bullet"/>
      <w:lvlText w:val=""/>
      <w:lvlJc w:val="start"/>
      <w:pPr>
        <w:tabs>
          <w:tab w:val="num" w:pos="283"/>
        </w:tabs>
        <w:ind w:start="283" w:hanging="283"/>
      </w:pPr>
      <w:rPr>
        <w:rFonts w:ascii="Symbol" w:hAnsi="Symbol" w:cs="Symbol" w:hint="default"/>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w="http://schemas.openxmlformats.org/wordprocessingml/2006/main">
  <w:zoom w:percent="100"/>
  <w:trackRevisions/>
  <w:defaultTabStop w:val="708"/>
  <w:autoHyphenation w:val="true"/>
  <w:compat>
    <w:doNotBreakWrappedTables/>
    <w:compatSetting w:name="compatibilityMode" w:uri="http://schemas.microsoft.com/office/word" w:val="11"/>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before="0" w:after="0"/>
      <w:jc w:val="start"/>
    </w:pPr>
    <w:rPr>
      <w:rFonts w:ascii="Times New Roman" w:hAnsi="Times New Roman" w:eastAsia="Times New Roman" w:cs="Times New Roman"/>
      <w:color w:val="auto"/>
      <w:kern w:val="0"/>
      <w:sz w:val="20"/>
      <w:szCs w:val="20"/>
      <w:lang w:val="en-GB" w:eastAsia="zh-CN" w:bidi="ar-SA"/>
    </w:rPr>
  </w:style>
  <w:style w:type="paragraph" w:styleId="Heading1">
    <w:name w:val="Heading 1"/>
    <w:basedOn w:val="Normal"/>
    <w:next w:val="Texte"/>
    <w:qFormat/>
    <w:pPr>
      <w:keepNext w:val="true"/>
      <w:numPr>
        <w:ilvl w:val="0"/>
        <w:numId w:val="1"/>
      </w:numPr>
      <w:spacing w:before="284" w:after="142"/>
      <w:jc w:val="both"/>
      <w:outlineLvl w:val="0"/>
    </w:pPr>
    <w:rPr>
      <w:rFonts w:ascii="Times New Roman Gras;Times New Roman" w:hAnsi="Times New Roman Gras;Times New Roman" w:cs="Times New Roman Gras;Times New Roman"/>
      <w:b/>
      <w:sz w:val="24"/>
    </w:rPr>
  </w:style>
  <w:style w:type="paragraph" w:styleId="Heading2">
    <w:name w:val="Heading 2"/>
    <w:basedOn w:val="Normal"/>
    <w:next w:val="Retrait0"/>
    <w:qFormat/>
    <w:pPr>
      <w:keepNext w:val="true"/>
      <w:numPr>
        <w:ilvl w:val="1"/>
        <w:numId w:val="1"/>
      </w:numPr>
      <w:spacing w:before="142" w:after="142"/>
      <w:ind w:hanging="0" w:start="284" w:end="0"/>
      <w:jc w:val="both"/>
      <w:outlineLvl w:val="1"/>
    </w:pPr>
    <w:rPr>
      <w:sz w:val="24"/>
    </w:rPr>
  </w:style>
  <w:style w:type="paragraph" w:styleId="Heading3">
    <w:name w:val="Heading 3"/>
    <w:basedOn w:val="Normal"/>
    <w:next w:val="Retrait1"/>
    <w:qFormat/>
    <w:pPr>
      <w:keepNext w:val="true"/>
      <w:numPr>
        <w:ilvl w:val="2"/>
        <w:numId w:val="1"/>
      </w:numPr>
      <w:spacing w:before="142" w:after="142"/>
      <w:ind w:hanging="0" w:start="567" w:end="0"/>
      <w:jc w:val="both"/>
      <w:outlineLvl w:val="2"/>
    </w:pPr>
    <w:rPr>
      <w:i/>
      <w:sz w:val="24"/>
    </w:rPr>
  </w:style>
  <w:style w:type="paragraph" w:styleId="Heading4">
    <w:name w:val="Heading 4"/>
    <w:basedOn w:val="Normal"/>
    <w:next w:val="Normal"/>
    <w:qFormat/>
    <w:pPr>
      <w:keepNext w:val="true"/>
      <w:jc w:val="both"/>
      <w:outlineLvl w:val="3"/>
    </w:pPr>
    <w:rPr>
      <w:b/>
      <w:sz w:val="22"/>
    </w:rPr>
  </w:style>
  <w:style w:type="paragraph" w:styleId="Heading5">
    <w:name w:val="Heading 5"/>
    <w:basedOn w:val="Normal"/>
    <w:next w:val="Normal"/>
    <w:qFormat/>
    <w:pPr>
      <w:keepNext w:val="true"/>
      <w:outlineLvl w:val="4"/>
    </w:pPr>
    <w:rPr>
      <w:rFonts w:ascii="Arial" w:hAnsi="Arial" w:cs="Arial"/>
      <w:b/>
      <w:sz w:val="22"/>
    </w:rPr>
  </w:style>
  <w:style w:type="paragraph" w:styleId="Heading6">
    <w:name w:val="Heading 6"/>
    <w:basedOn w:val="Normal"/>
    <w:next w:val="Normal"/>
    <w:qFormat/>
    <w:pPr>
      <w:keepNext w:val="true"/>
      <w:outlineLvl w:val="5"/>
    </w:pPr>
    <w:rPr>
      <w:sz w:val="24"/>
      <w:u w:val="single"/>
    </w:rPr>
  </w:style>
  <w:style w:type="paragraph" w:styleId="Heading7">
    <w:name w:val="Heading 7"/>
    <w:basedOn w:val="Normal"/>
    <w:next w:val="Normal"/>
    <w:qFormat/>
    <w:pPr>
      <w:keepNext w:val="true"/>
      <w:outlineLvl w:val="6"/>
    </w:pPr>
    <w:rPr>
      <w:i/>
      <w:u w:val="single"/>
    </w:rPr>
  </w:style>
  <w:style w:type="paragraph" w:styleId="Heading8">
    <w:name w:val="Heading 8"/>
    <w:basedOn w:val="Normal"/>
    <w:next w:val="Normal"/>
    <w:qFormat/>
    <w:pPr>
      <w:keepNext w:val="true"/>
      <w:outlineLvl w:val="7"/>
    </w:pPr>
    <w:rPr>
      <w:b/>
    </w:rPr>
  </w:style>
  <w:style w:type="paragraph" w:styleId="Heading9">
    <w:name w:val="Heading 9"/>
    <w:basedOn w:val="Normal"/>
    <w:next w:val="Normal"/>
    <w:qFormat/>
    <w:pPr>
      <w:keepNext w:val="true"/>
      <w:outlineLvl w:val="8"/>
    </w:pPr>
    <w:rPr>
      <w:u w:val="single"/>
    </w:rPr>
  </w:style>
  <w:style w:type="character" w:styleId="WW8Num3z0">
    <w:name w:val="WW8Num3z0"/>
    <w:qFormat/>
    <w:rPr>
      <w:rFonts w:ascii="Symbol" w:hAnsi="Symbol" w:cs="Symbol"/>
    </w:rPr>
  </w:style>
  <w:style w:type="character" w:styleId="WW8Num3z1">
    <w:name w:val="WW8Num3z1"/>
    <w:qFormat/>
    <w:rPr>
      <w:rFonts w:ascii="Courier New" w:hAnsi="Courier New" w:cs="Courier New"/>
    </w:rPr>
  </w:style>
  <w:style w:type="character" w:styleId="WW8Num3z2">
    <w:name w:val="WW8Num3z2"/>
    <w:qFormat/>
    <w:rPr>
      <w:rFonts w:ascii="Wingdings" w:hAnsi="Wingdings" w:cs="Wingdings"/>
    </w:rPr>
  </w:style>
  <w:style w:type="character" w:styleId="WW8Num5z0">
    <w:name w:val="WW8Num5z0"/>
    <w:qFormat/>
    <w:rPr>
      <w:rFonts w:ascii="Symbol" w:hAnsi="Symbol" w:cs="Symbol"/>
    </w:rPr>
  </w:style>
  <w:style w:type="character" w:styleId="WW8Num6z0">
    <w:name w:val="WW8Num6z0"/>
    <w:qFormat/>
    <w:rPr/>
  </w:style>
  <w:style w:type="character" w:styleId="WW8Num7z0">
    <w:name w:val="WW8Num7z0"/>
    <w:qFormat/>
    <w:rPr>
      <w:rFonts w:ascii="Symbol" w:hAnsi="Symbol" w:cs="Symbol"/>
    </w:rPr>
  </w:style>
  <w:style w:type="character" w:styleId="WW8Num9z0">
    <w:name w:val="WW8Num9z0"/>
    <w:qFormat/>
    <w:rPr>
      <w:rFonts w:ascii="Arial" w:hAnsi="Arial" w:eastAsia="Times New Roman" w:cs="Arial"/>
    </w:rPr>
  </w:style>
  <w:style w:type="character" w:styleId="WW8Num9z1">
    <w:name w:val="WW8Num9z1"/>
    <w:qFormat/>
    <w:rPr>
      <w:rFonts w:ascii="Courier New" w:hAnsi="Courier New" w:cs="Courier New"/>
    </w:rPr>
  </w:style>
  <w:style w:type="character" w:styleId="WW8Num9z2">
    <w:name w:val="WW8Num9z2"/>
    <w:qFormat/>
    <w:rPr>
      <w:rFonts w:ascii="Wingdings" w:hAnsi="Wingdings" w:cs="Wingdings"/>
    </w:rPr>
  </w:style>
  <w:style w:type="character" w:styleId="WW8Num9z3">
    <w:name w:val="WW8Num9z3"/>
    <w:qFormat/>
    <w:rPr>
      <w:rFonts w:ascii="Symbol" w:hAnsi="Symbol" w:cs="Symbol"/>
    </w:rPr>
  </w:style>
  <w:style w:type="character" w:styleId="WW8Num10z0">
    <w:name w:val="WW8Num10z0"/>
    <w:qFormat/>
    <w:rPr>
      <w:rFonts w:ascii="Times New Roman" w:hAnsi="Times New Roman" w:cs="Times New Roman"/>
    </w:rPr>
  </w:style>
  <w:style w:type="character" w:styleId="WW8Num11z0">
    <w:name w:val="WW8Num11z0"/>
    <w:qFormat/>
    <w:rPr>
      <w:rFonts w:ascii="Webdings" w:hAnsi="Webdings" w:cs="Webdings"/>
    </w:rPr>
  </w:style>
  <w:style w:type="character" w:styleId="WW8Num13z0">
    <w:name w:val="WW8Num13z0"/>
    <w:qFormat/>
    <w:rPr>
      <w:rFonts w:ascii="Symbol" w:hAnsi="Symbol" w:cs="Symbol"/>
      <w:b w:val="false"/>
      <w:i w:val="false"/>
      <w:sz w:val="16"/>
    </w:rPr>
  </w:style>
  <w:style w:type="character" w:styleId="WW8Num14z0">
    <w:name w:val="WW8Num14z0"/>
    <w:qFormat/>
    <w:rPr>
      <w:rFonts w:ascii="Symbol" w:hAnsi="Symbol" w:cs="Symbol"/>
    </w:rPr>
  </w:style>
  <w:style w:type="character" w:styleId="WW8Num16z0">
    <w:name w:val="WW8Num16z0"/>
    <w:qFormat/>
    <w:rPr>
      <w:rFonts w:ascii="Symbol" w:hAnsi="Symbol" w:cs="Symbol"/>
    </w:rPr>
  </w:style>
  <w:style w:type="character" w:styleId="WW8Num17z0">
    <w:name w:val="WW8Num17z0"/>
    <w:qFormat/>
    <w:rPr>
      <w:rFonts w:ascii="Times New Roman" w:hAnsi="Times New Roman" w:cs="Times New Roman"/>
    </w:rPr>
  </w:style>
  <w:style w:type="character" w:styleId="WW8Num18z0">
    <w:name w:val="WW8Num18z0"/>
    <w:qFormat/>
    <w:rPr>
      <w:rFonts w:ascii="Symbol" w:hAnsi="Symbol" w:cs="Symbol"/>
      <w:sz w:val="16"/>
    </w:rPr>
  </w:style>
  <w:style w:type="character" w:styleId="WW8Num19z0">
    <w:name w:val="WW8Num19z0"/>
    <w:qFormat/>
    <w:rPr>
      <w:rFonts w:ascii="Symbol" w:hAnsi="Symbol" w:cs="Symbol"/>
    </w:rPr>
  </w:style>
  <w:style w:type="character" w:styleId="WW8Num19z1">
    <w:name w:val="WW8Num19z1"/>
    <w:qFormat/>
    <w:rPr>
      <w:rFonts w:ascii="Courier New" w:hAnsi="Courier New" w:cs="Courier New"/>
    </w:rPr>
  </w:style>
  <w:style w:type="character" w:styleId="WW8Num19z2">
    <w:name w:val="WW8Num19z2"/>
    <w:qFormat/>
    <w:rPr>
      <w:rFonts w:ascii="Wingdings" w:hAnsi="Wingdings" w:cs="Wingdings"/>
    </w:rPr>
  </w:style>
  <w:style w:type="character" w:styleId="WW8Num20z0">
    <w:name w:val="WW8Num20z0"/>
    <w:qFormat/>
    <w:rPr>
      <w:rFonts w:ascii="Wingdings" w:hAnsi="Wingdings" w:cs="Wingdings"/>
    </w:rPr>
  </w:style>
  <w:style w:type="character" w:styleId="WW8Num21z0">
    <w:name w:val="WW8Num21z0"/>
    <w:qFormat/>
    <w:rPr>
      <w:rFonts w:ascii="Wingdings" w:hAnsi="Wingdings" w:cs="Wingdings"/>
    </w:rPr>
  </w:style>
  <w:style w:type="character" w:styleId="WW8Num22z0">
    <w:name w:val="WW8Num22z0"/>
    <w:qFormat/>
    <w:rPr>
      <w:rFonts w:ascii="Symbol" w:hAnsi="Symbol" w:cs="Symbol"/>
      <w:color w:val="000000"/>
    </w:rPr>
  </w:style>
  <w:style w:type="character" w:styleId="WW8Num22z1">
    <w:name w:val="WW8Num22z1"/>
    <w:qFormat/>
    <w:rPr>
      <w:rFonts w:ascii="Courier New" w:hAnsi="Courier New" w:cs="Courier New"/>
    </w:rPr>
  </w:style>
  <w:style w:type="character" w:styleId="WW8Num22z2">
    <w:name w:val="WW8Num22z2"/>
    <w:qFormat/>
    <w:rPr>
      <w:rFonts w:ascii="Wingdings" w:hAnsi="Wingdings" w:cs="Wingdings"/>
    </w:rPr>
  </w:style>
  <w:style w:type="character" w:styleId="WW8Num22z3">
    <w:name w:val="WW8Num22z3"/>
    <w:qFormat/>
    <w:rPr>
      <w:rFonts w:ascii="Symbol" w:hAnsi="Symbol" w:cs="Symbol"/>
    </w:rPr>
  </w:style>
  <w:style w:type="character" w:styleId="WW8Num23z0">
    <w:name w:val="WW8Num23z0"/>
    <w:qFormat/>
    <w:rPr>
      <w:rFonts w:ascii="Arial" w:hAnsi="Arial" w:eastAsia="Times New Roman" w:cs="Arial"/>
    </w:rPr>
  </w:style>
  <w:style w:type="character" w:styleId="WW8Num24z0">
    <w:name w:val="WW8Num24z0"/>
    <w:qFormat/>
    <w:rPr>
      <w:rFonts w:ascii="Times New Roman" w:hAnsi="Times New Roman" w:cs="Times New Roman"/>
    </w:rPr>
  </w:style>
  <w:style w:type="character" w:styleId="WW8Num25z0">
    <w:name w:val="WW8Num25z0"/>
    <w:qFormat/>
    <w:rPr>
      <w:rFonts w:ascii="Symbol" w:hAnsi="Symbol" w:cs="Symbol"/>
    </w:rPr>
  </w:style>
  <w:style w:type="character" w:styleId="WW8Num25z1">
    <w:name w:val="WW8Num25z1"/>
    <w:qFormat/>
    <w:rPr>
      <w:rFonts w:ascii="Courier New" w:hAnsi="Courier New" w:cs="Courier New"/>
    </w:rPr>
  </w:style>
  <w:style w:type="character" w:styleId="WW8Num25z2">
    <w:name w:val="WW8Num25z2"/>
    <w:qFormat/>
    <w:rPr>
      <w:rFonts w:ascii="Wingdings" w:hAnsi="Wingdings" w:cs="Wingdings"/>
    </w:rPr>
  </w:style>
  <w:style w:type="character" w:styleId="WW8Num26z0">
    <w:name w:val="WW8Num26z0"/>
    <w:qFormat/>
    <w:rPr>
      <w:rFonts w:ascii="Symbol" w:hAnsi="Symbol" w:cs="Symbol"/>
    </w:rPr>
  </w:style>
  <w:style w:type="character" w:styleId="WW8Num27z0">
    <w:name w:val="WW8Num27z0"/>
    <w:qFormat/>
    <w:rPr>
      <w:rFonts w:ascii="Times New Roman" w:hAnsi="Times New Roman" w:eastAsia="Times New Roman" w:cs="Times New Roman"/>
    </w:rPr>
  </w:style>
  <w:style w:type="character" w:styleId="WW8Num27z1">
    <w:name w:val="WW8Num27z1"/>
    <w:qFormat/>
    <w:rPr>
      <w:rFonts w:ascii="Courier New" w:hAnsi="Courier New" w:cs="Courier New"/>
    </w:rPr>
  </w:style>
  <w:style w:type="character" w:styleId="WW8Num27z2">
    <w:name w:val="WW8Num27z2"/>
    <w:qFormat/>
    <w:rPr>
      <w:rFonts w:ascii="Wingdings" w:hAnsi="Wingdings" w:cs="Wingdings"/>
    </w:rPr>
  </w:style>
  <w:style w:type="character" w:styleId="WW8Num27z3">
    <w:name w:val="WW8Num27z3"/>
    <w:qFormat/>
    <w:rPr>
      <w:rFonts w:ascii="Symbol" w:hAnsi="Symbol" w:cs="Symbol"/>
    </w:rPr>
  </w:style>
  <w:style w:type="character" w:styleId="WW8Num28z0">
    <w:name w:val="WW8Num28z0"/>
    <w:qFormat/>
    <w:rPr>
      <w:rFonts w:ascii="Times New Roman" w:hAnsi="Times New Roman" w:eastAsia="Times New Roman" w:cs="Times New Roman"/>
    </w:rPr>
  </w:style>
  <w:style w:type="character" w:styleId="WW8Num28z1">
    <w:name w:val="WW8Num28z1"/>
    <w:qFormat/>
    <w:rPr>
      <w:rFonts w:ascii="Courier New" w:hAnsi="Courier New" w:cs="Courier New"/>
    </w:rPr>
  </w:style>
  <w:style w:type="character" w:styleId="WW8Num28z2">
    <w:name w:val="WW8Num28z2"/>
    <w:qFormat/>
    <w:rPr>
      <w:rFonts w:ascii="Wingdings" w:hAnsi="Wingdings" w:cs="Wingdings"/>
    </w:rPr>
  </w:style>
  <w:style w:type="character" w:styleId="WW8Num28z3">
    <w:name w:val="WW8Num28z3"/>
    <w:qFormat/>
    <w:rPr>
      <w:rFonts w:ascii="Symbol" w:hAnsi="Symbol" w:cs="Symbol"/>
    </w:rPr>
  </w:style>
  <w:style w:type="character" w:styleId="WW8Num29z0">
    <w:name w:val="WW8Num29z0"/>
    <w:qFormat/>
    <w:rPr>
      <w:rFonts w:ascii="Symbol" w:hAnsi="Symbol" w:cs="Symbol"/>
      <w:sz w:val="16"/>
    </w:rPr>
  </w:style>
  <w:style w:type="character" w:styleId="WW8Num31z0">
    <w:name w:val="WW8Num31z0"/>
    <w:qFormat/>
    <w:rPr>
      <w:rFonts w:ascii="Symbol" w:hAnsi="Symbol" w:cs="Symbol"/>
      <w:color w:val="000000"/>
    </w:rPr>
  </w:style>
  <w:style w:type="character" w:styleId="WW8Num32z0">
    <w:name w:val="WW8Num32z0"/>
    <w:qFormat/>
    <w:rPr/>
  </w:style>
  <w:style w:type="character" w:styleId="WW8Num33z0">
    <w:name w:val="WW8Num33z0"/>
    <w:qFormat/>
    <w:rPr>
      <w:rFonts w:ascii="Times New Roman" w:hAnsi="Times New Roman" w:cs="Times New Roman"/>
    </w:rPr>
  </w:style>
  <w:style w:type="character" w:styleId="WW8Num34z0">
    <w:name w:val="WW8Num34z0"/>
    <w:qFormat/>
    <w:rPr>
      <w:rFonts w:ascii="Times New Roman" w:hAnsi="Times New Roman" w:cs="Times New Roman"/>
    </w:rPr>
  </w:style>
  <w:style w:type="character" w:styleId="WW8NumSt16z0">
    <w:name w:val="WW8NumSt16z0"/>
    <w:qFormat/>
    <w:rPr>
      <w:rFonts w:ascii="Times" w:hAnsi="Times" w:cs="Times"/>
      <w:sz w:val="24"/>
    </w:rPr>
  </w:style>
  <w:style w:type="character" w:styleId="WW8NumSt23z0">
    <w:name w:val="WW8NumSt23z0"/>
    <w:qFormat/>
    <w:rPr>
      <w:rFonts w:ascii="Symbol" w:hAnsi="Symbol" w:cs="Symbol"/>
    </w:rPr>
  </w:style>
  <w:style w:type="character" w:styleId="WW8NumSt36z0">
    <w:name w:val="WW8NumSt36z0"/>
    <w:qFormat/>
    <w:rPr>
      <w:rFonts w:ascii="Symbol" w:hAnsi="Symbol" w:cs="Symbol"/>
    </w:rPr>
  </w:style>
  <w:style w:type="character" w:styleId="WW8NumSt36z1">
    <w:name w:val="WW8NumSt36z1"/>
    <w:qFormat/>
    <w:rPr>
      <w:rFonts w:ascii="Courier New" w:hAnsi="Courier New" w:cs="Courier New"/>
    </w:rPr>
  </w:style>
  <w:style w:type="character" w:styleId="WW8NumSt36z2">
    <w:name w:val="WW8NumSt36z2"/>
    <w:qFormat/>
    <w:rPr>
      <w:rFonts w:ascii="Wingdings" w:hAnsi="Wingdings" w:cs="Wingdings"/>
    </w:rPr>
  </w:style>
  <w:style w:type="character" w:styleId="DefaultParagraphFont">
    <w:name w:val="Default Paragraph Font"/>
    <w:qFormat/>
    <w:rPr/>
  </w:style>
  <w:style w:type="character" w:styleId="PageNumber">
    <w:name w:val="Page Number"/>
    <w:basedOn w:val="DefaultParagraphFont"/>
    <w:rPr/>
  </w:style>
  <w:style w:type="character" w:styleId="CommentReference">
    <w:name w:val="Comment Reference"/>
    <w:qFormat/>
    <w:rPr>
      <w:sz w:val="16"/>
      <w:szCs w:val="16"/>
    </w:rPr>
  </w:style>
  <w:style w:type="character" w:styleId="HeaderChar">
    <w:name w:val="Header Char"/>
    <w:qFormat/>
    <w:rPr/>
  </w:style>
  <w:style w:type="character" w:styleId="Hyperlink">
    <w:name w:val="Hyperlink"/>
    <w:rPr>
      <w:color w:val="0000FF"/>
      <w:u w:val="single"/>
    </w:rPr>
  </w:style>
  <w:style w:type="character" w:styleId="LineNumber">
    <w:name w:val="Line Number"/>
    <w:rPr/>
  </w:style>
  <w:style w:type="paragraph" w:styleId="Heading">
    <w:name w:val="Heading"/>
    <w:basedOn w:val="Normal"/>
    <w:next w:val="BodyText"/>
    <w:qFormat/>
    <w:pPr>
      <w:keepNext w:val="true"/>
      <w:spacing w:before="240" w:after="120"/>
    </w:pPr>
    <w:rPr>
      <w:rFonts w:ascii="Arial" w:hAnsi="Arial" w:eastAsia="Arial" w:cs="Times New Roman"/>
      <w:sz w:val="28"/>
      <w:szCs w:val="28"/>
    </w:rPr>
  </w:style>
  <w:style w:type="paragraph" w:styleId="BodyText">
    <w:name w:val="Body Text"/>
    <w:basedOn w:val="Normal"/>
    <w:pPr>
      <w:spacing w:before="0" w:after="141"/>
      <w:jc w:val="both"/>
    </w:pPr>
    <w:rPr>
      <w:rFonts w:ascii="Arial MT" w:hAnsi="Arial MT" w:cs="Arial MT"/>
    </w:rPr>
  </w:style>
  <w:style w:type="paragraph" w:styleId="List">
    <w:name w:val="List"/>
    <w:basedOn w:val="BodyText"/>
    <w:pPr/>
    <w:rPr>
      <w:rFonts w:cs="Times New Roman"/>
    </w:rPr>
  </w:style>
  <w:style w:type="paragraph" w:styleId="Caption">
    <w:name w:val="Caption"/>
    <w:basedOn w:val="Normal"/>
    <w:qFormat/>
    <w:pPr>
      <w:suppressLineNumbers/>
      <w:spacing w:before="120" w:after="120"/>
    </w:pPr>
    <w:rPr>
      <w:rFonts w:cs="Times New Roman"/>
      <w:i/>
      <w:iCs/>
      <w:sz w:val="24"/>
      <w:szCs w:val="24"/>
    </w:rPr>
  </w:style>
  <w:style w:type="paragraph" w:styleId="Index">
    <w:name w:val="Index"/>
    <w:basedOn w:val="Normal"/>
    <w:qFormat/>
    <w:pPr>
      <w:suppressLineNumbers/>
    </w:pPr>
    <w:rPr>
      <w:rFonts w:cs="Times New Roman"/>
    </w:rPr>
  </w:style>
  <w:style w:type="paragraph" w:styleId="Liste1">
    <w:name w:val="Liste 1"/>
    <w:basedOn w:val="Normal"/>
    <w:qFormat/>
    <w:pPr>
      <w:numPr>
        <w:ilvl w:val="0"/>
        <w:numId w:val="0"/>
      </w:numPr>
      <w:spacing w:before="142" w:after="0"/>
      <w:ind w:hanging="283" w:start="567" w:end="0"/>
      <w:jc w:val="both"/>
    </w:pPr>
    <w:rPr>
      <w:sz w:val="24"/>
    </w:rPr>
  </w:style>
  <w:style w:type="paragraph" w:styleId="Listea">
    <w:name w:val="Liste a"/>
    <w:basedOn w:val="Liste1"/>
    <w:qFormat/>
    <w:pPr>
      <w:ind w:hanging="283" w:start="853" w:end="0"/>
    </w:pPr>
    <w:rPr/>
  </w:style>
  <w:style w:type="paragraph" w:styleId="Noms">
    <w:name w:val="Noms"/>
    <w:basedOn w:val="Normal"/>
    <w:qFormat/>
    <w:pPr>
      <w:keepLines/>
      <w:tabs>
        <w:tab w:val="clear" w:pos="708"/>
        <w:tab w:val="left" w:pos="360" w:leader="none"/>
        <w:tab w:val="left" w:pos="3402" w:leader="none"/>
        <w:tab w:val="left" w:pos="3686" w:leader="none"/>
        <w:tab w:val="left" w:pos="4536" w:leader="none"/>
        <w:tab w:val="left" w:pos="5670" w:leader="none"/>
        <w:tab w:val="left" w:pos="6804" w:leader="none"/>
        <w:tab w:val="left" w:pos="7938" w:leader="none"/>
      </w:tabs>
      <w:ind w:hanging="0" w:start="2778" w:end="0"/>
    </w:pPr>
    <w:rPr>
      <w:sz w:val="24"/>
    </w:rPr>
  </w:style>
  <w:style w:type="paragraph" w:styleId="Objet">
    <w:name w:val="Objet"/>
    <w:basedOn w:val="Normal"/>
    <w:qFormat/>
    <w:pPr/>
    <w:rPr>
      <w:sz w:val="24"/>
    </w:rPr>
  </w:style>
  <w:style w:type="paragraph" w:styleId="Puce">
    <w:name w:val="Puce"/>
    <w:basedOn w:val="Normal"/>
    <w:qFormat/>
    <w:pPr>
      <w:numPr>
        <w:ilvl w:val="0"/>
        <w:numId w:val="9"/>
      </w:numPr>
      <w:spacing w:before="142" w:after="0"/>
      <w:jc w:val="both"/>
    </w:pPr>
    <w:rPr>
      <w:sz w:val="24"/>
    </w:rPr>
  </w:style>
  <w:style w:type="paragraph" w:styleId="Pflche">
    <w:name w:val="P. flèche"/>
    <w:basedOn w:val="Puce"/>
    <w:qFormat/>
    <w:pPr>
      <w:numPr>
        <w:ilvl w:val="0"/>
        <w:numId w:val="7"/>
      </w:numPr>
    </w:pPr>
    <w:rPr/>
  </w:style>
  <w:style w:type="paragraph" w:styleId="Plosange">
    <w:name w:val="P. losange"/>
    <w:basedOn w:val="Puce"/>
    <w:qFormat/>
    <w:pPr>
      <w:numPr>
        <w:ilvl w:val="0"/>
        <w:numId w:val="4"/>
      </w:numPr>
    </w:pPr>
    <w:rPr/>
  </w:style>
  <w:style w:type="paragraph" w:styleId="Pmarque">
    <w:name w:val="P. marque"/>
    <w:basedOn w:val="Puce"/>
    <w:qFormat/>
    <w:pPr>
      <w:numPr>
        <w:ilvl w:val="0"/>
        <w:numId w:val="6"/>
      </w:numPr>
    </w:pPr>
    <w:rPr/>
  </w:style>
  <w:style w:type="paragraph" w:styleId="Ppoint">
    <w:name w:val="P. point"/>
    <w:basedOn w:val="Puce"/>
    <w:qFormat/>
    <w:pPr>
      <w:numPr>
        <w:ilvl w:val="0"/>
        <w:numId w:val="5"/>
      </w:numPr>
    </w:pPr>
    <w:rPr/>
  </w:style>
  <w:style w:type="paragraph" w:styleId="Ptiret">
    <w:name w:val="P. tiret"/>
    <w:basedOn w:val="Ppoint"/>
    <w:qFormat/>
    <w:pPr>
      <w:numPr>
        <w:ilvl w:val="0"/>
        <w:numId w:val="8"/>
      </w:numPr>
    </w:pPr>
    <w:rPr/>
  </w:style>
  <w:style w:type="paragraph" w:styleId="Ptriangle">
    <w:name w:val="P. triangle"/>
    <w:basedOn w:val="Puce"/>
    <w:qFormat/>
    <w:pPr>
      <w:numPr>
        <w:ilvl w:val="0"/>
        <w:numId w:val="3"/>
      </w:numPr>
    </w:pPr>
    <w:rPr/>
  </w:style>
  <w:style w:type="paragraph" w:styleId="Retrait0">
    <w:name w:val="Retrait 0"/>
    <w:basedOn w:val="Normal"/>
    <w:qFormat/>
    <w:pPr>
      <w:spacing w:before="142" w:after="0"/>
      <w:ind w:hanging="0" w:start="284" w:end="0"/>
      <w:jc w:val="both"/>
    </w:pPr>
    <w:rPr>
      <w:sz w:val="24"/>
    </w:rPr>
  </w:style>
  <w:style w:type="paragraph" w:styleId="Retrait1">
    <w:name w:val="Retrait 1"/>
    <w:basedOn w:val="Retrait0"/>
    <w:qFormat/>
    <w:pPr>
      <w:ind w:hanging="0" w:start="567" w:end="0"/>
    </w:pPr>
    <w:rPr/>
  </w:style>
  <w:style w:type="paragraph" w:styleId="Retrait2">
    <w:name w:val="Retrait 2"/>
    <w:basedOn w:val="Retrait1"/>
    <w:qFormat/>
    <w:pPr>
      <w:ind w:hanging="0" w:start="1559" w:end="0"/>
    </w:pPr>
    <w:rPr/>
  </w:style>
  <w:style w:type="paragraph" w:styleId="Retrait150">
    <w:name w:val="Retrait1.50"/>
    <w:basedOn w:val="Retrait1"/>
    <w:qFormat/>
    <w:pPr>
      <w:ind w:hanging="0" w:start="851" w:end="0"/>
    </w:pPr>
    <w:rPr/>
  </w:style>
  <w:style w:type="paragraph" w:styleId="Texte">
    <w:name w:val="Texte"/>
    <w:basedOn w:val="Normal"/>
    <w:qFormat/>
    <w:pPr>
      <w:keepLines/>
      <w:tabs>
        <w:tab w:val="clear" w:pos="708"/>
        <w:tab w:val="left" w:pos="426" w:leader="none"/>
        <w:tab w:val="left" w:pos="1134" w:leader="none"/>
        <w:tab w:val="left" w:pos="1701" w:leader="none"/>
        <w:tab w:val="left" w:pos="2268" w:leader="none"/>
        <w:tab w:val="left" w:pos="3402" w:leader="none"/>
        <w:tab w:val="left" w:pos="4536" w:leader="none"/>
        <w:tab w:val="left" w:pos="5670" w:leader="none"/>
        <w:tab w:val="left" w:pos="6804" w:leader="none"/>
        <w:tab w:val="left" w:pos="7938" w:leader="none"/>
      </w:tabs>
      <w:spacing w:before="141" w:after="0"/>
      <w:jc w:val="both"/>
    </w:pPr>
    <w:rPr>
      <w:sz w:val="24"/>
    </w:rPr>
  </w:style>
  <w:style w:type="paragraph" w:styleId="Textecran">
    <w:name w:val="Texte écran"/>
    <w:basedOn w:val="Normal"/>
    <w:qFormat/>
    <w:pPr>
      <w:ind w:firstLine="567" w:start="567" w:end="0"/>
    </w:pPr>
    <w:rPr>
      <w:rFonts w:ascii="Letter Gothic;Courier New" w:hAnsi="Letter Gothic;Courier New" w:cs="Letter Gothic;Courier New"/>
      <w:sz w:val="16"/>
    </w:rPr>
  </w:style>
  <w:style w:type="paragraph" w:styleId="Textetableau">
    <w:name w:val="Texte tableau"/>
    <w:basedOn w:val="Normal"/>
    <w:qFormat/>
    <w:pPr/>
    <w:rPr>
      <w:sz w:val="24"/>
    </w:rPr>
  </w:style>
  <w:style w:type="paragraph" w:styleId="Txtcompact">
    <w:name w:val="Txt compact"/>
    <w:basedOn w:val="Normal"/>
    <w:qFormat/>
    <w:pPr>
      <w:keepLines/>
      <w:tabs>
        <w:tab w:val="clear" w:pos="708"/>
        <w:tab w:val="left" w:pos="851" w:leader="none"/>
        <w:tab w:val="left" w:pos="1134" w:leader="none"/>
        <w:tab w:val="left" w:pos="1701" w:leader="none"/>
        <w:tab w:val="left" w:pos="2268" w:leader="none"/>
        <w:tab w:val="left" w:pos="3402" w:leader="none"/>
        <w:tab w:val="left" w:pos="4536" w:leader="none"/>
        <w:tab w:val="left" w:pos="5670" w:leader="none"/>
        <w:tab w:val="left" w:pos="6804" w:leader="none"/>
        <w:tab w:val="left" w:pos="7938" w:leader="none"/>
      </w:tabs>
      <w:ind w:firstLine="426" w:start="0" w:end="0"/>
      <w:jc w:val="both"/>
    </w:pPr>
    <w:rPr>
      <w:sz w:val="24"/>
    </w:rPr>
  </w:style>
  <w:style w:type="paragraph" w:styleId="tiret">
    <w:name w:val="tiret"/>
    <w:basedOn w:val="Normal"/>
    <w:qFormat/>
    <w:pPr>
      <w:numPr>
        <w:ilvl w:val="0"/>
        <w:numId w:val="0"/>
      </w:numPr>
      <w:spacing w:before="0" w:after="141"/>
      <w:ind w:hanging="0" w:start="0" w:end="0"/>
      <w:jc w:val="both"/>
    </w:pPr>
    <w:rPr>
      <w:rFonts w:ascii="Arial MT" w:hAnsi="Arial MT" w:cs="Arial MT"/>
      <w:lang w:val="en-GB"/>
    </w:rPr>
  </w:style>
  <w:style w:type="paragraph" w:styleId="Textepardfaut">
    <w:name w:val="Texte par défaut"/>
    <w:basedOn w:val="Normal"/>
    <w:qFormat/>
    <w:pPr/>
    <w:rPr>
      <w:sz w:val="24"/>
      <w:lang w:val="en-GB"/>
    </w:rPr>
  </w:style>
  <w:style w:type="paragraph" w:styleId="BodyText1">
    <w:name w:val="Body Text1"/>
    <w:basedOn w:val="Normal"/>
    <w:qFormat/>
    <w:pPr>
      <w:spacing w:before="0" w:after="141"/>
      <w:jc w:val="both"/>
    </w:pPr>
    <w:rPr>
      <w:sz w:val="24"/>
      <w:lang w:val="en-US" w:eastAsia="en-US"/>
    </w:rPr>
  </w:style>
  <w:style w:type="paragraph" w:styleId="BodyText2">
    <w:name w:val="Body Text 2"/>
    <w:basedOn w:val="Normal"/>
    <w:qFormat/>
    <w:pPr>
      <w:jc w:val="both"/>
    </w:pPr>
    <w:rPr>
      <w:rFonts w:ascii="Arial" w:hAnsi="Arial" w:cs="Arial"/>
    </w:rPr>
  </w:style>
  <w:style w:type="paragraph" w:styleId="WPBullets">
    <w:name w:val="WP Bullets"/>
    <w:basedOn w:val="Normal"/>
    <w:qFormat/>
    <w:pPr>
      <w:numPr>
        <w:ilvl w:val="0"/>
        <w:numId w:val="0"/>
      </w:numPr>
      <w:spacing w:before="0" w:after="141"/>
      <w:ind w:hanging="0" w:start="0" w:end="0"/>
      <w:jc w:val="both"/>
    </w:pPr>
    <w:rPr>
      <w:rFonts w:ascii="Arial MT" w:hAnsi="Arial MT" w:cs="Arial MT"/>
    </w:rPr>
  </w:style>
  <w:style w:type="paragraph" w:styleId="BodyText3">
    <w:name w:val="Body Text 3"/>
    <w:basedOn w:val="Normal"/>
    <w:qFormat/>
    <w:pPr>
      <w:jc w:val="both"/>
    </w:pPr>
    <w:rPr>
      <w:b/>
      <w:color w:val="800080"/>
      <w:sz w:val="24"/>
    </w:rPr>
  </w:style>
  <w:style w:type="paragraph" w:styleId="HeaderandFooter">
    <w:name w:val="Header and Footer"/>
    <w:basedOn w:val="Normal"/>
    <w:qFormat/>
    <w:pPr>
      <w:suppressLineNumbers/>
      <w:tabs>
        <w:tab w:val="clear" w:pos="708"/>
        <w:tab w:val="center" w:pos="4819" w:leader="none"/>
        <w:tab w:val="right" w:pos="9638" w:leader="none"/>
      </w:tabs>
    </w:pPr>
    <w:rPr/>
  </w:style>
  <w:style w:type="paragraph" w:styleId="Header">
    <w:name w:val="Header"/>
    <w:basedOn w:val="Normal"/>
    <w:pPr>
      <w:tabs>
        <w:tab w:val="clear" w:pos="708"/>
        <w:tab w:val="center" w:pos="4536" w:leader="none"/>
        <w:tab w:val="right" w:pos="9072" w:leader="none"/>
      </w:tabs>
    </w:pPr>
    <w:rPr/>
  </w:style>
  <w:style w:type="paragraph" w:styleId="ARTICLEREGLEMENT">
    <w:name w:val="ARTICLE_REGLEMENT"/>
    <w:qFormat/>
    <w:pPr>
      <w:widowControl/>
      <w:numPr>
        <w:ilvl w:val="0"/>
        <w:numId w:val="10"/>
      </w:numPr>
      <w:suppressAutoHyphens w:val="true"/>
      <w:bidi w:val="0"/>
      <w:spacing w:before="120" w:after="60"/>
      <w:ind w:hanging="340" w:start="340" w:end="0"/>
      <w:jc w:val="center"/>
    </w:pPr>
    <w:rPr>
      <w:rFonts w:ascii="GillSans;Calibri" w:hAnsi="GillSans;Calibri" w:eastAsia="Times New Roman" w:cs="GillSans;Calibri"/>
      <w:b/>
      <w:color w:val="auto"/>
      <w:kern w:val="0"/>
      <w:sz w:val="22"/>
      <w:szCs w:val="20"/>
      <w:lang w:val="en-GB" w:eastAsia="zh-CN" w:bidi="ar-SA"/>
    </w:rPr>
  </w:style>
  <w:style w:type="paragraph" w:styleId="Footer">
    <w:name w:val="Footer"/>
    <w:basedOn w:val="Normal"/>
    <w:pPr>
      <w:tabs>
        <w:tab w:val="clear" w:pos="708"/>
        <w:tab w:val="center" w:pos="4536" w:leader="none"/>
        <w:tab w:val="right" w:pos="9072" w:leader="none"/>
      </w:tabs>
    </w:pPr>
    <w:rPr/>
  </w:style>
  <w:style w:type="paragraph" w:styleId="BalloonText">
    <w:name w:val="Balloon Text"/>
    <w:basedOn w:val="Normal"/>
    <w:qFormat/>
    <w:pPr/>
    <w:rPr>
      <w:rFonts w:ascii="Tahoma" w:hAnsi="Tahoma" w:cs="Tahoma"/>
      <w:sz w:val="16"/>
      <w:szCs w:val="16"/>
    </w:rPr>
  </w:style>
  <w:style w:type="paragraph" w:styleId="PlainText">
    <w:name w:val="Plain Text"/>
    <w:basedOn w:val="Normal"/>
    <w:qFormat/>
    <w:pPr/>
    <w:rPr>
      <w:rFonts w:ascii="Courier New" w:hAnsi="Courier New" w:cs="Courier New"/>
    </w:rPr>
  </w:style>
  <w:style w:type="paragraph" w:styleId="Titre3Niveau111">
    <w:name w:val="Titre 3.Niveau 1 1 1"/>
    <w:basedOn w:val="Normal"/>
    <w:next w:val="Normal"/>
    <w:qFormat/>
    <w:pPr>
      <w:keepNext w:val="true"/>
      <w:spacing w:before="142" w:after="142"/>
      <w:jc w:val="center"/>
      <w:outlineLvl w:val="2"/>
    </w:pPr>
    <w:rPr>
      <w:b/>
      <w:sz w:val="24"/>
      <w:u w:val="single"/>
    </w:rPr>
  </w:style>
  <w:style w:type="paragraph" w:styleId="ssPara1">
    <w:name w:val="ssPara1"/>
    <w:basedOn w:val="Normal"/>
    <w:qFormat/>
    <w:pPr>
      <w:spacing w:lineRule="atLeast" w:line="260" w:before="0" w:after="260"/>
      <w:jc w:val="both"/>
    </w:pPr>
    <w:rPr>
      <w:rFonts w:ascii="Arial" w:hAnsi="Arial" w:cs="Arial"/>
      <w:sz w:val="22"/>
      <w:szCs w:val="22"/>
      <w:lang w:val="en-GB"/>
    </w:rPr>
  </w:style>
  <w:style w:type="paragraph" w:styleId="tabulationadresse">
    <w:name w:val="tabulation adresse"/>
    <w:qFormat/>
    <w:pPr>
      <w:widowControl/>
      <w:tabs>
        <w:tab w:val="clear" w:pos="708"/>
        <w:tab w:val="left" w:pos="-23" w:leader="none"/>
        <w:tab w:val="left" w:pos="4729" w:leader="none"/>
        <w:tab w:val="left" w:pos="4933" w:leader="none"/>
        <w:tab w:val="left" w:pos="5641" w:leader="none"/>
        <w:tab w:val="left" w:pos="6349" w:leader="none"/>
        <w:tab w:val="left" w:pos="7057" w:leader="none"/>
        <w:tab w:val="left" w:pos="7765" w:leader="none"/>
        <w:tab w:val="left" w:pos="8473" w:leader="none"/>
      </w:tabs>
      <w:suppressAutoHyphens w:val="true"/>
      <w:bidi w:val="0"/>
      <w:spacing w:before="0" w:after="0"/>
      <w:jc w:val="start"/>
    </w:pPr>
    <w:rPr>
      <w:rFonts w:ascii="Courier" w:hAnsi="Courier" w:eastAsia="Times New Roman" w:cs="Courier"/>
      <w:color w:val="auto"/>
      <w:kern w:val="0"/>
      <w:sz w:val="24"/>
      <w:szCs w:val="20"/>
      <w:lang w:val="en-GB" w:eastAsia="zh-CN" w:bidi="ar-SA"/>
    </w:rPr>
  </w:style>
  <w:style w:type="paragraph" w:styleId="CommentText">
    <w:name w:val="Comment Text"/>
    <w:basedOn w:val="Normal"/>
    <w:qFormat/>
    <w:pPr/>
    <w:rPr/>
  </w:style>
  <w:style w:type="paragraph" w:styleId="CommentSubject">
    <w:name w:val="Comment Subject"/>
    <w:basedOn w:val="CommentText"/>
    <w:next w:val="CommentText"/>
    <w:qFormat/>
    <w:pPr/>
    <w:rPr>
      <w:b/>
      <w:bCs/>
    </w:rPr>
  </w:style>
  <w:style w:type="paragraph" w:styleId="Default">
    <w:name w:val="Default"/>
    <w:qFormat/>
    <w:pPr>
      <w:widowControl/>
      <w:suppressAutoHyphens w:val="true"/>
      <w:bidi w:val="0"/>
      <w:spacing w:before="0" w:after="0"/>
      <w:jc w:val="start"/>
    </w:pPr>
    <w:rPr>
      <w:rFonts w:ascii="Arial" w:hAnsi="Arial" w:eastAsia="Times New Roman" w:cs="Arial"/>
      <w:color w:val="000000"/>
      <w:kern w:val="0"/>
      <w:sz w:val="24"/>
      <w:szCs w:val="24"/>
      <w:lang w:val="en-GB" w:eastAsia="zh-CN" w:bidi="ar-SA"/>
    </w:rPr>
  </w:style>
  <w:style w:type="paragraph" w:styleId="ListParagraph">
    <w:name w:val="List Paragraph"/>
    <w:basedOn w:val="Normal"/>
    <w:qFormat/>
    <w:pPr>
      <w:ind w:hanging="0" w:start="708" w:end="0"/>
    </w:pPr>
    <w:rPr/>
  </w:style>
  <w:style w:type="paragraph" w:styleId="Revision">
    <w:name w:val="Revision"/>
    <w:qFormat/>
    <w:pPr>
      <w:widowControl/>
      <w:suppressAutoHyphens w:val="true"/>
      <w:bidi w:val="0"/>
      <w:spacing w:before="0" w:after="0"/>
      <w:jc w:val="start"/>
    </w:pPr>
    <w:rPr>
      <w:rFonts w:ascii="Times New Roman" w:hAnsi="Times New Roman" w:eastAsia="Times New Roman" w:cs="Times New Roman"/>
      <w:color w:val="auto"/>
      <w:kern w:val="0"/>
      <w:sz w:val="20"/>
      <w:szCs w:val="20"/>
      <w:lang w:val="en-GB" w:eastAsia="zh-CN" w:bidi="ar-SA"/>
    </w:rPr>
  </w:style>
  <w:style w:type="paragraph" w:styleId="FrameContents">
    <w:name w:val="Frame Contents"/>
    <w:basedOn w:val="Normal"/>
    <w:qFormat/>
    <w:pPr/>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 w:type="numbering" w:styleId="WW8Num7">
    <w:name w:val="WW8Num7"/>
    <w:qFormat/>
  </w:style>
  <w:style w:type="numbering" w:styleId="WW8Num8">
    <w:name w:val="WW8Num8"/>
    <w:qFormat/>
  </w:style>
  <w:style w:type="numbering" w:styleId="WW8Num9">
    <w:name w:val="WW8Num9"/>
    <w:qFormat/>
  </w:style>
  <w:style w:type="numbering" w:styleId="WW8Num10">
    <w:name w:val="WW8Num10"/>
    <w:qFormat/>
  </w:style>
  <w:style w:type="numbering" w:styleId="WW8Num11">
    <w:name w:val="WW8Num11"/>
    <w:qFormat/>
  </w:style>
  <w:style w:type="numbering" w:styleId="WW8Num12">
    <w:name w:val="WW8Num12"/>
    <w:qFormat/>
  </w:style>
  <w:style w:type="numbering" w:styleId="WW8Num13">
    <w:name w:val="WW8Num13"/>
    <w:qFormat/>
  </w:style>
  <w:style w:type="numbering" w:styleId="WW8Num14">
    <w:name w:val="WW8Num14"/>
    <w:qFormat/>
  </w:style>
  <w:style w:type="numbering" w:styleId="WW8Num15">
    <w:name w:val="WW8Num15"/>
    <w:qFormat/>
  </w:style>
  <w:style w:type="numbering" w:styleId="WW8Num16">
    <w:name w:val="WW8Num16"/>
    <w:qFormat/>
  </w:style>
  <w:style w:type="numbering" w:styleId="WW8Num17">
    <w:name w:val="WW8Num17"/>
    <w:qFormat/>
  </w:style>
  <w:style w:type="numbering" w:styleId="WW8Num18">
    <w:name w:val="WW8Num18"/>
    <w:qFormat/>
  </w:style>
  <w:style w:type="numbering" w:styleId="WW8Num19">
    <w:name w:val="WW8Num19"/>
    <w:qFormat/>
  </w:style>
  <w:style w:type="numbering" w:styleId="WW8Num20">
    <w:name w:val="WW8Num20"/>
    <w:qFormat/>
  </w:style>
  <w:style w:type="numbering" w:styleId="WW8Num21">
    <w:name w:val="WW8Num21"/>
    <w:qFormat/>
  </w:style>
  <w:style w:type="numbering" w:styleId="WW8Num22">
    <w:name w:val="WW8Num22"/>
    <w:qFormat/>
  </w:style>
  <w:style w:type="numbering" w:styleId="WW8Num23">
    <w:name w:val="WW8Num23"/>
    <w:qFormat/>
  </w:style>
  <w:style w:type="numbering" w:styleId="WW8Num24">
    <w:name w:val="WW8Num24"/>
    <w:qFormat/>
  </w:style>
  <w:style w:type="numbering" w:styleId="WW8Num25">
    <w:name w:val="WW8Num25"/>
    <w:qFormat/>
  </w:style>
  <w:style w:type="numbering" w:styleId="WW8Num26">
    <w:name w:val="WW8Num26"/>
    <w:qFormat/>
  </w:style>
  <w:style w:type="numbering" w:styleId="WW8Num27">
    <w:name w:val="WW8Num27"/>
    <w:qFormat/>
  </w:style>
  <w:style w:type="numbering" w:styleId="WW8Num28">
    <w:name w:val="WW8Num28"/>
    <w:qFormat/>
  </w:style>
  <w:style w:type="numbering" w:styleId="WW8Num29">
    <w:name w:val="WW8Num29"/>
    <w:qFormat/>
  </w:style>
  <w:style w:type="numbering" w:styleId="WW8Num30">
    <w:name w:val="WW8Num30"/>
    <w:qFormat/>
  </w:style>
  <w:style w:type="numbering" w:styleId="WW8Num31">
    <w:name w:val="WW8Num31"/>
    <w:qFormat/>
  </w:style>
  <w:style w:type="numbering" w:styleId="WW8Num32">
    <w:name w:val="WW8Num32"/>
    <w:qFormat/>
  </w:style>
  <w:style w:type="numbering" w:styleId="WW8Num33">
    <w:name w:val="WW8Num33"/>
    <w:qFormat/>
  </w:style>
  <w:style w:type="numbering" w:styleId="WW8Num34">
    <w:name w:val="WW8Num34"/>
    <w:qFormat/>
  </w:style>
  <w:style w:type="numbering" w:styleId="WW8Num35">
    <w:name w:val="WW8Num35"/>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footer" Target="footer2.xml"/><Relationship Id="rId4" Type="http://schemas.openxmlformats.org/officeDocument/2006/relationships/footer" Target="footer3.xml"/><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0</TotalTime>
  <Application>LibreOffice/24.2.7.2$Linux_X86_64 LibreOffice_project/420$Build-2</Application>
  <AppVersion>15.0000</AppVersion>
  <Pages>2</Pages>
  <Words>721</Words>
  <Characters>3891</Characters>
  <CharactersWithSpaces>4588</CharactersWithSpaces>
  <Paragraphs>30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2024-09-12T14:09:00Z</dcterms:created>
  <dc:creator>C.C.B.P.</dc:creator>
  <dc:description/>
  <dc:language>en-US</dc:language>
  <cp:lastModifiedBy/>
  <cp:lastPrinted>2026-09-25T11:09:00Z</cp:lastPrinted>
  <dcterms:modified xsi:type="dcterms:W3CDTF">2026-09-28T07:46:53Z</dcterms:modified>
  <cp:revision>13</cp:revision>
  <dc:subject/>
  <dc:title>CONVERTIBLE BOND EUROPE</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e83a6fe-0b6e-4399-9d09-a1c8d8d5000c_Application">
    <vt:lpwstr>Microsoft Azure Information Protection</vt:lpwstr>
  </property>
  <property fmtid="{D5CDD505-2E9C-101B-9397-08002B2CF9AE}" pid="3" name="MSIP_Label_6e83a6fe-0b6e-4399-9d09-a1c8d8d5000c_Enabled">
    <vt:lpwstr>True</vt:lpwstr>
  </property>
  <property fmtid="{D5CDD505-2E9C-101B-9397-08002B2CF9AE}" pid="4" name="MSIP_Label_6e83a6fe-0b6e-4399-9d09-a1c8d8d5000c_Extended_MSFT_Method">
    <vt:lpwstr>Automatic</vt:lpwstr>
  </property>
  <property fmtid="{D5CDD505-2E9C-101B-9397-08002B2CF9AE}" pid="5" name="MSIP_Label_6e83a6fe-0b6e-4399-9d09-a1c8d8d5000c_Name">
    <vt:lpwstr>C1 - Public Natixis</vt:lpwstr>
  </property>
  <property fmtid="{D5CDD505-2E9C-101B-9397-08002B2CF9AE}" pid="6" name="MSIP_Label_6e83a6fe-0b6e-4399-9d09-a1c8d8d5000c_Owner">
    <vt:lpwstr>sfethi@cib.net</vt:lpwstr>
  </property>
  <property fmtid="{D5CDD505-2E9C-101B-9397-08002B2CF9AE}" pid="7" name="MSIP_Label_6e83a6fe-0b6e-4399-9d09-a1c8d8d5000c_SetDate">
    <vt:lpwstr>2019-03-04T10:58:07.5225416Z</vt:lpwstr>
  </property>
  <property fmtid="{D5CDD505-2E9C-101B-9397-08002B2CF9AE}" pid="8" name="MSIP_Label_6e83a6fe-0b6e-4399-9d09-a1c8d8d5000c_SiteId">
    <vt:lpwstr>d5bb6d35-8a82-4329-b49a-5030bd6497ab</vt:lpwstr>
  </property>
  <property fmtid="{D5CDD505-2E9C-101B-9397-08002B2CF9AE}" pid="9" name="Sensitivity">
    <vt:lpwstr>C1 - Public Natixis</vt:lpwstr>
  </property>
</Properties>
</file>